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BEEF1" w14:textId="77777777" w:rsidR="005C0123" w:rsidRDefault="00CC3DBC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Executive Summary</w:t>
      </w:r>
    </w:p>
    <w:p w14:paraId="4B3A7ACD" w14:textId="77777777" w:rsidR="005C0123" w:rsidRDefault="00CC3DBC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aimed to model cold-calling success rates in the context of selling insurance. Traditional marketing managers often use cold calling as a part of their sales campaign in order to sell insurance policies to new generated leads. However, cold callers trad</w:t>
      </w:r>
      <w:r>
        <w:rPr>
          <w:rFonts w:ascii="Times New Roman" w:eastAsia="Times New Roman" w:hAnsi="Times New Roman" w:cs="Times New Roman"/>
        </w:rPr>
        <w:t>itionally face a success rate of 1-2%, and a model predicting the probability of a successful cold call, given the recipient's characteristics, would increase the success rate of their cold calls, and subsequently the success of their marketing campaign.</w:t>
      </w:r>
      <w:r>
        <w:rPr>
          <w:rFonts w:ascii="Times New Roman" w:eastAsia="Times New Roman" w:hAnsi="Times New Roman" w:cs="Times New Roman"/>
        </w:rPr>
        <w:br/>
      </w:r>
    </w:p>
    <w:p w14:paraId="1D85EFDA" w14:textId="77777777" w:rsidR="005C0123" w:rsidRDefault="00CC3DBC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Traditionally, a brute force approach is employed which not only wastes organisational resources and time but could affect the </w:t>
      </w:r>
      <w:proofErr w:type="gramStart"/>
      <w:r>
        <w:rPr>
          <w:rFonts w:ascii="Times New Roman" w:eastAsia="Times New Roman" w:hAnsi="Times New Roman" w:cs="Times New Roman"/>
        </w:rPr>
        <w:t>long term</w:t>
      </w:r>
      <w:proofErr w:type="gramEnd"/>
      <w:r>
        <w:rPr>
          <w:rFonts w:ascii="Times New Roman" w:eastAsia="Times New Roman" w:hAnsi="Times New Roman" w:cs="Times New Roman"/>
        </w:rPr>
        <w:t xml:space="preserve"> effectiveness of the caller through call reluctance as callers grow wary of rejection. We believe that we have proven t</w:t>
      </w:r>
      <w:r>
        <w:rPr>
          <w:rFonts w:ascii="Times New Roman" w:eastAsia="Times New Roman" w:hAnsi="Times New Roman" w:cs="Times New Roman"/>
        </w:rPr>
        <w:t>hat a data-centric approach to accurately predict the success of cold calls can help alleviate this industry challenge through our model.</w:t>
      </w:r>
    </w:p>
    <w:p w14:paraId="364F4ED2" w14:textId="77777777" w:rsidR="005C0123" w:rsidRDefault="005C0123">
      <w:pPr>
        <w:spacing w:line="240" w:lineRule="auto"/>
        <w:rPr>
          <w:rFonts w:ascii="Times New Roman" w:eastAsia="Times New Roman" w:hAnsi="Times New Roman" w:cs="Times New Roman"/>
        </w:rPr>
      </w:pPr>
    </w:p>
    <w:p w14:paraId="1B8F92DA" w14:textId="1A185885" w:rsidR="005C0123" w:rsidRDefault="00CC3DBC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data was sourced from a data mining competition dataset from the Technical University of Munich and is provided b</w:t>
      </w:r>
      <w:r>
        <w:rPr>
          <w:rFonts w:ascii="Times New Roman" w:eastAsia="Times New Roman" w:hAnsi="Times New Roman" w:cs="Times New Roman"/>
        </w:rPr>
        <w:t xml:space="preserve">y an anonymised bank that sells car insurance to clients through cold calling. Considering </w:t>
      </w:r>
      <w:r w:rsidR="006026D1"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</w:rPr>
        <w:t xml:space="preserve"> the bank has information regarding prospective clients, the data can be used to optimise the accuracy in identifying clients that are willing and unwil</w:t>
      </w:r>
      <w:r>
        <w:rPr>
          <w:rFonts w:ascii="Times New Roman" w:eastAsia="Times New Roman" w:hAnsi="Times New Roman" w:cs="Times New Roman"/>
        </w:rPr>
        <w:t xml:space="preserve">ling to purchase car insurance to increase the effectiveness of the bank’s cold calling campaign. </w:t>
      </w:r>
    </w:p>
    <w:p w14:paraId="6E017063" w14:textId="77777777" w:rsidR="005C0123" w:rsidRDefault="005C0123">
      <w:pPr>
        <w:spacing w:line="240" w:lineRule="auto"/>
        <w:rPr>
          <w:rFonts w:ascii="Times New Roman" w:eastAsia="Times New Roman" w:hAnsi="Times New Roman" w:cs="Times New Roman"/>
        </w:rPr>
      </w:pPr>
    </w:p>
    <w:p w14:paraId="484172D6" w14:textId="77777777" w:rsidR="005C0123" w:rsidRDefault="00CC3DBC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Multiple GLM models created using different selection methods for significant variables and a Classification Tree were evaluated based on their accuracy in </w:t>
      </w:r>
      <w:r>
        <w:rPr>
          <w:rFonts w:ascii="Times New Roman" w:eastAsia="Times New Roman" w:hAnsi="Times New Roman" w:cs="Times New Roman"/>
        </w:rPr>
        <w:t xml:space="preserve">identifying clients who were interested in purchasing car insurance. From our evaluation, the most accurate model was the GLM model: </w:t>
      </w:r>
    </w:p>
    <w:p w14:paraId="11DF52BD" w14:textId="77777777" w:rsidR="005C0123" w:rsidRDefault="005C0123">
      <w:pPr>
        <w:spacing w:line="240" w:lineRule="auto"/>
        <w:rPr>
          <w:rFonts w:ascii="Times New Roman" w:eastAsia="Times New Roman" w:hAnsi="Times New Roman" w:cs="Times New Roman"/>
        </w:rPr>
      </w:pPr>
    </w:p>
    <w:p w14:paraId="3F75CBB7" w14:textId="77777777" w:rsidR="005C0123" w:rsidRDefault="00CC3DBC">
      <w:pPr>
        <w:spacing w:line="240" w:lineRule="auto"/>
        <w:rPr>
          <w:rFonts w:ascii="Times New Roman" w:eastAsia="Times New Roman" w:hAnsi="Times New Roman" w:cs="Times New Roman"/>
          <w:b/>
        </w:rPr>
      </w:pPr>
      <m:oMath>
        <m:r>
          <m:rPr>
            <m:sty m:val="bi"/>
          </m:rPr>
          <w:rPr>
            <w:rFonts w:ascii="Times New Roman" w:eastAsia="Times New Roman" w:hAnsi="Times New Roman" w:cs="Times New Roman"/>
            <w:sz w:val="24"/>
            <w:szCs w:val="24"/>
          </w:rPr>
          <m:t>log</m:t>
        </m:r>
        <m:r>
          <m:rPr>
            <m:sty m:val="bi"/>
          </m:rPr>
          <w:rPr>
            <w:rFonts w:ascii="Times New Roman" w:eastAsia="Times New Roman" w:hAnsi="Times New Roman" w:cs="Times New Roman"/>
            <w:sz w:val="24"/>
            <w:szCs w:val="24"/>
          </w:rPr>
          <m:t>(</m:t>
        </m:r>
        <m:f>
          <m:fPr>
            <m:ctrl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4"/>
                <w:szCs w:val="24"/>
              </w:rPr>
              <m:t>p</m:t>
            </m:r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4"/>
                <w:szCs w:val="24"/>
              </w:rPr>
              <m:t>(</m:t>
            </m:r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4"/>
                <w:szCs w:val="24"/>
              </w:rPr>
              <m:t>call</m:t>
            </m:r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4"/>
                <w:szCs w:val="24"/>
              </w:rPr>
              <m:t>success</m:t>
            </m:r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4"/>
                <w:szCs w:val="24"/>
              </w:rPr>
              <m:t>)</m:t>
            </m:r>
          </m:num>
          <m:den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4"/>
                <w:szCs w:val="24"/>
              </w:rPr>
              <m:t>p</m:t>
            </m:r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4"/>
                <w:szCs w:val="24"/>
              </w:rPr>
              <m:t>(</m:t>
            </m:r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4"/>
                <w:szCs w:val="24"/>
              </w:rPr>
              <m:t>call</m:t>
            </m:r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4"/>
                <w:szCs w:val="24"/>
              </w:rPr>
              <m:t>failure</m:t>
            </m:r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4"/>
                <w:szCs w:val="24"/>
              </w:rPr>
              <m:t>)</m:t>
            </m:r>
          </m:den>
        </m:f>
        <m:r>
          <m:rPr>
            <m:sty m:val="bi"/>
          </m:rPr>
          <w:rPr>
            <w:rFonts w:ascii="Times New Roman" w:eastAsia="Times New Roman" w:hAnsi="Times New Roman" w:cs="Times New Roman"/>
            <w:sz w:val="24"/>
            <w:szCs w:val="24"/>
          </w:rPr>
          <m:t>) =</m:t>
        </m:r>
        <m:r>
          <m:rPr>
            <m:sty m:val="bi"/>
          </m:rPr>
          <w:rPr>
            <w:rFonts w:ascii="Times New Roman" w:eastAsia="Times New Roman" w:hAnsi="Times New Roman" w:cs="Times New Roman"/>
          </w:rPr>
          <m:t xml:space="preserve"> </m:t>
        </m:r>
      </m:oMath>
      <w:r>
        <w:rPr>
          <w:rFonts w:ascii="Times New Roman" w:eastAsia="Times New Roman" w:hAnsi="Times New Roman" w:cs="Times New Roman"/>
          <w:b/>
        </w:rPr>
        <w:t>-2.13781158 -1.66715158*</w:t>
      </w:r>
      <w:r>
        <w:rPr>
          <w:rFonts w:ascii="Times New Roman" w:eastAsia="Times New Roman" w:hAnsi="Times New Roman" w:cs="Times New Roman"/>
          <w:b/>
          <w:i/>
        </w:rPr>
        <w:t>Entrepreneur1 +</w:t>
      </w:r>
      <w:r>
        <w:rPr>
          <w:rFonts w:ascii="Times New Roman" w:eastAsia="Times New Roman" w:hAnsi="Times New Roman" w:cs="Times New Roman"/>
          <w:b/>
        </w:rPr>
        <w:t xml:space="preserve"> 1.45700202*</w:t>
      </w:r>
      <w:r>
        <w:rPr>
          <w:rFonts w:ascii="Times New Roman" w:eastAsia="Times New Roman" w:hAnsi="Times New Roman" w:cs="Times New Roman"/>
          <w:b/>
          <w:i/>
        </w:rPr>
        <w:t>HHIns</w:t>
      </w:r>
      <w:r>
        <w:rPr>
          <w:rFonts w:ascii="Times New Roman" w:eastAsia="Times New Roman" w:hAnsi="Times New Roman" w:cs="Times New Roman"/>
          <w:b/>
          <w:i/>
        </w:rPr>
        <w:t>urance0</w:t>
      </w:r>
      <w:r>
        <w:rPr>
          <w:rFonts w:ascii="Times New Roman" w:eastAsia="Times New Roman" w:hAnsi="Times New Roman" w:cs="Times New Roman"/>
          <w:b/>
        </w:rPr>
        <w:t xml:space="preserve"> - 0.62457171*</w:t>
      </w:r>
      <w:proofErr w:type="spellStart"/>
      <w:r>
        <w:rPr>
          <w:rFonts w:ascii="Times New Roman" w:eastAsia="Times New Roman" w:hAnsi="Times New Roman" w:cs="Times New Roman"/>
          <w:b/>
          <w:i/>
        </w:rPr>
        <w:t>CarLoan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- 0.08442889*</w:t>
      </w:r>
      <w:proofErr w:type="spellStart"/>
      <w:r>
        <w:rPr>
          <w:rFonts w:ascii="Times New Roman" w:eastAsia="Times New Roman" w:hAnsi="Times New Roman" w:cs="Times New Roman"/>
          <w:b/>
          <w:i/>
        </w:rPr>
        <w:t>NoOfContacts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r>
        <w:rPr>
          <w:rFonts w:ascii="Times New Roman" w:eastAsia="Times New Roman" w:hAnsi="Times New Roman" w:cs="Times New Roman"/>
          <w:b/>
        </w:rPr>
        <w:t>+ 1.89481397*</w:t>
      </w:r>
      <w:r>
        <w:rPr>
          <w:rFonts w:ascii="Times New Roman" w:eastAsia="Times New Roman" w:hAnsi="Times New Roman" w:cs="Times New Roman"/>
          <w:b/>
          <w:i/>
        </w:rPr>
        <w:t xml:space="preserve">PrevSucc1 </w:t>
      </w:r>
      <w:r>
        <w:rPr>
          <w:rFonts w:ascii="Times New Roman" w:eastAsia="Times New Roman" w:hAnsi="Times New Roman" w:cs="Times New Roman"/>
          <w:b/>
        </w:rPr>
        <w:t>+ 0.30153617*</w:t>
      </w:r>
      <w:proofErr w:type="spellStart"/>
      <w:r>
        <w:rPr>
          <w:rFonts w:ascii="Times New Roman" w:eastAsia="Times New Roman" w:hAnsi="Times New Roman" w:cs="Times New Roman"/>
          <w:b/>
          <w:i/>
        </w:rPr>
        <w:t>CallDuration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25150805" w14:textId="77777777" w:rsidR="005C0123" w:rsidRDefault="005C0123">
      <w:pPr>
        <w:spacing w:line="240" w:lineRule="auto"/>
        <w:rPr>
          <w:rFonts w:ascii="Times New Roman" w:eastAsia="Times New Roman" w:hAnsi="Times New Roman" w:cs="Times New Roman"/>
        </w:rPr>
      </w:pPr>
    </w:p>
    <w:p w14:paraId="32E167CE" w14:textId="77777777" w:rsidR="005C0123" w:rsidRDefault="00CC3DBC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Our practical recommendations are as follows:</w:t>
      </w:r>
    </w:p>
    <w:p w14:paraId="0C582853" w14:textId="77777777" w:rsidR="005C0123" w:rsidRDefault="005C0123">
      <w:pPr>
        <w:spacing w:line="240" w:lineRule="auto"/>
        <w:rPr>
          <w:rFonts w:ascii="Times New Roman" w:eastAsia="Times New Roman" w:hAnsi="Times New Roman" w:cs="Times New Roman"/>
        </w:rPr>
      </w:pPr>
    </w:p>
    <w:p w14:paraId="2D0FAD81" w14:textId="77777777" w:rsidR="005C0123" w:rsidRDefault="00CC3DB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Firstly, callers should try to engage more with their recipients to increase the call duration to over for better chance of success.</w:t>
      </w:r>
    </w:p>
    <w:p w14:paraId="4D7FEDED" w14:textId="77777777" w:rsidR="005C0123" w:rsidRDefault="00CC3DB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Callers should also not continuously approach a recipient multiple times to increase the success of cold calling.</w:t>
      </w:r>
    </w:p>
    <w:p w14:paraId="3FD7828D" w14:textId="77777777" w:rsidR="005C0123" w:rsidRDefault="00CC3DB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Companies</w:t>
      </w:r>
      <w:r>
        <w:rPr>
          <w:rFonts w:ascii="Times New Roman" w:eastAsia="Times New Roman" w:hAnsi="Times New Roman" w:cs="Times New Roman"/>
        </w:rPr>
        <w:t xml:space="preserve"> should also not target entrepreneurs as they may be more willing to take risks and thus more unwilling to buy insurance.</w:t>
      </w:r>
    </w:p>
    <w:p w14:paraId="49B832D0" w14:textId="77777777" w:rsidR="005C0123" w:rsidRDefault="00CC3DB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Customers who have a car loan may be more unwilling to buy insurance due to increased costs</w:t>
      </w:r>
    </w:p>
    <w:p w14:paraId="3A823C5D" w14:textId="77777777" w:rsidR="005C0123" w:rsidRDefault="00CC3DB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Subsequently, companies should target cust</w:t>
      </w:r>
      <w:r>
        <w:rPr>
          <w:rFonts w:ascii="Times New Roman" w:eastAsia="Times New Roman" w:hAnsi="Times New Roman" w:cs="Times New Roman"/>
        </w:rPr>
        <w:t>omers who are already cu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stomers of existing complementary products, in this case, customers who already have household insurance will be more willing to purchase car insurance after the call. </w:t>
      </w:r>
    </w:p>
    <w:p w14:paraId="31529DB8" w14:textId="7E140B68" w:rsidR="005C0123" w:rsidRDefault="00CC3DB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Customers who have bought other products during </w:t>
      </w:r>
      <w:r>
        <w:rPr>
          <w:rFonts w:ascii="Times New Roman" w:eastAsia="Times New Roman" w:hAnsi="Times New Roman" w:cs="Times New Roman"/>
        </w:rPr>
        <w:t>previous marke</w:t>
      </w:r>
      <w:r>
        <w:rPr>
          <w:rFonts w:ascii="Times New Roman" w:eastAsia="Times New Roman" w:hAnsi="Times New Roman" w:cs="Times New Roman"/>
        </w:rPr>
        <w:t>ting campaigns will also be more likely to buy after the cold call.</w:t>
      </w:r>
    </w:p>
    <w:p w14:paraId="49795ED4" w14:textId="77777777" w:rsidR="005C0123" w:rsidRDefault="005C0123">
      <w:pPr>
        <w:spacing w:line="240" w:lineRule="auto"/>
        <w:ind w:left="720"/>
        <w:rPr>
          <w:rFonts w:ascii="Times New Roman" w:eastAsia="Times New Roman" w:hAnsi="Times New Roman" w:cs="Times New Roman"/>
        </w:rPr>
      </w:pPr>
    </w:p>
    <w:p w14:paraId="5037D3B1" w14:textId="77777777" w:rsidR="005C0123" w:rsidRDefault="00CC3DBC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believe that while this predictive model is an important step forward in the direction of digital transformation of traditional marketing, the predictive model can be improved further </w:t>
      </w:r>
      <w:r>
        <w:rPr>
          <w:rFonts w:ascii="Times New Roman" w:eastAsia="Times New Roman" w:hAnsi="Times New Roman" w:cs="Times New Roman"/>
        </w:rPr>
        <w:t>through actual deployment and obtaining more data tailored to the context of specific companies to increase the predictive accuracy and consistency of the model.</w:t>
      </w:r>
    </w:p>
    <w:p w14:paraId="08C0FDA1" w14:textId="15534E0B" w:rsidR="005C0123" w:rsidRDefault="005C0123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sectPr w:rsidR="005C0123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FBB40" w14:textId="77777777" w:rsidR="00CC3DBC" w:rsidRDefault="00CC3DBC">
      <w:pPr>
        <w:spacing w:line="240" w:lineRule="auto"/>
      </w:pPr>
      <w:r>
        <w:separator/>
      </w:r>
    </w:p>
  </w:endnote>
  <w:endnote w:type="continuationSeparator" w:id="0">
    <w:p w14:paraId="13468FDB" w14:textId="77777777" w:rsidR="00CC3DBC" w:rsidRDefault="00CC3D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B163F" w14:textId="77777777" w:rsidR="00CC3DBC" w:rsidRDefault="00CC3DBC">
      <w:pPr>
        <w:spacing w:line="240" w:lineRule="auto"/>
      </w:pPr>
      <w:r>
        <w:separator/>
      </w:r>
    </w:p>
  </w:footnote>
  <w:footnote w:type="continuationSeparator" w:id="0">
    <w:p w14:paraId="4CC32B17" w14:textId="77777777" w:rsidR="00CC3DBC" w:rsidRDefault="00CC3D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EA078" w14:textId="77777777" w:rsidR="005C0123" w:rsidRDefault="00CC3DBC">
    <w:pPr>
      <w:rPr>
        <w:color w:val="999999"/>
      </w:rPr>
    </w:pPr>
    <w:r>
      <w:rPr>
        <w:color w:val="999999"/>
      </w:rPr>
      <w:t xml:space="preserve">DSA211 Project - Group 4 </w:t>
    </w: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tab/>
      <w:t>AY19/20T</w:t>
    </w:r>
    <w:r w:rsidR="00B0545D">
      <w:rPr>
        <w:color w:val="999999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60A0"/>
    <w:multiLevelType w:val="multilevel"/>
    <w:tmpl w:val="6EF657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B0176A"/>
    <w:multiLevelType w:val="multilevel"/>
    <w:tmpl w:val="FD16CA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60332A"/>
    <w:multiLevelType w:val="multilevel"/>
    <w:tmpl w:val="3278AA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7C6568F"/>
    <w:multiLevelType w:val="multilevel"/>
    <w:tmpl w:val="E47E68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123"/>
    <w:rsid w:val="00591854"/>
    <w:rsid w:val="005C0123"/>
    <w:rsid w:val="006026D1"/>
    <w:rsid w:val="00B0545D"/>
    <w:rsid w:val="00CC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FCCF"/>
  <w15:docId w15:val="{E332CB65-73C7-4E16-BCC5-8C7949330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0545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45D"/>
  </w:style>
  <w:style w:type="paragraph" w:styleId="Footer">
    <w:name w:val="footer"/>
    <w:basedOn w:val="Normal"/>
    <w:link w:val="FooterChar"/>
    <w:uiPriority w:val="99"/>
    <w:unhideWhenUsed/>
    <w:rsid w:val="00B0545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Dehan Chia</cp:lastModifiedBy>
  <cp:revision>5</cp:revision>
  <dcterms:created xsi:type="dcterms:W3CDTF">2020-03-28T01:37:00Z</dcterms:created>
  <dcterms:modified xsi:type="dcterms:W3CDTF">2020-03-28T01:38:00Z</dcterms:modified>
</cp:coreProperties>
</file>