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sz w:val="32"/>
        </w:rPr>
        <w:t>Лабораторная работа № 4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5500" cy="381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wagger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5500" cy="38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4"/>
        </w:rPr>
        <w:t>Рисунок 1 – Аутентификация археолога в Swagger в режиме инкогнито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5500" cy="381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wagger-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5500" cy="38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4"/>
        </w:rPr>
        <w:t>Рисунок 2 – Список княжеств в Swagger после авторизации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30270" cy="381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ostman-authoriz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0270" cy="38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4"/>
        </w:rPr>
        <w:t>Рисунок 3 – JWT из ответа аутентификации в заголовке Authorization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30270" cy="381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ostman-list-gue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0270" cy="38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4"/>
        </w:rPr>
        <w:t>Рисунок 4 – Список княжеств без токена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30270" cy="381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ostman-list-tok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0270" cy="38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4"/>
        </w:rPr>
        <w:t>Рисунок 5 – Список княжеств с токеном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30270" cy="381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ostman-publish-gue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0270" cy="38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4"/>
        </w:rPr>
        <w:t>Рисунок 6 – Публикация княжества гостем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5500" cy="381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ostman-publish-creat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5500" cy="38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4"/>
        </w:rPr>
        <w:t>Рисунок 7 – Публикация княжества археологом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30270" cy="381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edis-cl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0270" cy="38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4"/>
        </w:rPr>
        <w:t>Рисунок 8 – Blacklist токенов в Redis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05714" cy="381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taruml-signatu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5714" cy="38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4"/>
        </w:rPr>
        <w:t>Рисунок 9 – Свойство signature сообщения из диаграммы классов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