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32"/>
        </w:rPr>
        <w:t>Лабораторная работа № 4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5500" cy="3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wagger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55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1 – Аутентификация археолога в Swagger в режиме инкогнито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5500" cy="381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wagger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55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2 – Список княжеств в Swagger после авторизации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30270" cy="38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ostman-authoriz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027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3 – JWT из ответа аутентификации в заголовке Authorization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30270" cy="381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ostman-list-gu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027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4 – Список княжеств без токена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30270" cy="38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ostman-list-tok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027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5 – Список княжеств с токеном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30270" cy="381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ostman-publish-g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027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6 – Публикация княжества гостем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5500" cy="381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stman-publish-crea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55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7 – Публикация княжества археологом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30270" cy="381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dis-cl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027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8 – Blacklist токенов в Redis</w:t>
      </w:r>
    </w:p>
    <w:p>
      <w:pPr>
        <w:sectPr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9072000" cy="510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ruml-signa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1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4"/>
        </w:rPr>
        <w:t>Рисунок 9 – Свойство signature сообщения из диаграммы классов</w:t>
      </w:r>
    </w:p>
    <w:sectPr w:rsidR="00FC693F" w:rsidRPr="0006063C" w:rsidSect="00034616">
      <w:pgSz w:w="16838" w:h="11906" w:orient="landscape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