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Федеральное государственное автономное образовательное учреждение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высшего образования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«Московский государственный технический университет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имени Н.Э. Баумана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(национальный исследовательский университет)»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(МГТУ им. Н.Э. Баумана)</w:t>
            </w:r>
          </w:p>
        </w:tc>
      </w:tr>
    </w:tbl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  <w:pBdr>
          <w:bottom w:val="thinThickSmallGap" w:sz="24" w:space="1" w:color="000000"/>
        </w:pBd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  <w:u w:val="none"/>
        </w:rPr>
      </w:r>
    </w:p>
    <w:p>
      <w:pPr>
        <w:keepNext w:val="0"/>
        <w:pageBreakBefore w:val="0"/>
        <w:widowControl/>
        <w:spacing w:line="240" w:lineRule="auto" w:before="360" w:after="0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  <w:u w:val="none"/>
        </w:rPr>
        <w:t xml:space="preserve">ФАКУЛЬТЕТ 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  <w:u w:val="single"/>
        </w:rPr>
        <w:t>ИНФОРМАТИКА И СИСТЕМЫ УПРАВЛЕНИЯ</w:t>
      </w:r>
    </w:p>
    <w:p>
      <w:pPr>
        <w:keepNext w:val="0"/>
        <w:pageBreakBefore w:val="0"/>
        <w:widowControl/>
        <w:spacing w:line="240" w:lineRule="auto" w:before="240" w:after="0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  <w:u w:val="none"/>
        </w:rPr>
        <w:t xml:space="preserve">КАФЕДРА 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  <w:u w:val="single"/>
        </w:rPr>
        <w:t>СИСТЕМЫ ОБРАБОТКИ ИНФОРМАЦИИ И УПРАВЛЕНИЯ</w:t>
      </w:r>
    </w:p>
    <w:p>
      <w:pPr>
        <w:keepNext w:val="0"/>
        <w:pageBreakBefore w:val="0"/>
        <w:widowControl/>
        <w:spacing w:line="240" w:lineRule="auto" w:before="96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0"/>
          <w:u w:val="none"/>
        </w:rPr>
        <w:t>РАСЧЕТНО-ПОЯСНИТЕЛЬНАЯ ЗАПИСКА</w:t>
      </w:r>
    </w:p>
    <w:p>
      <w:pPr>
        <w:keepNext w:val="0"/>
        <w:pageBreakBefore w:val="0"/>
        <w:widowControl/>
        <w:spacing w:line="240" w:lineRule="auto" w:before="36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/>
          <w:color w:val="000000"/>
          <w:sz w:val="32"/>
          <w:u w:val="none"/>
        </w:rPr>
        <w:t>К ДОМАШНЕМУ ЗАДАНИЮ</w:t>
      </w:r>
    </w:p>
    <w:p>
      <w:pPr>
        <w:keepNext w:val="0"/>
        <w:pageBreakBefore w:val="0"/>
        <w:widowControl/>
        <w:spacing w:line="240" w:lineRule="auto" w:before="36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/>
          <w:color w:val="000000"/>
          <w:sz w:val="32"/>
          <w:u w:val="none"/>
        </w:rPr>
        <w:t>НА ТЕМУ:</w:t>
      </w:r>
    </w:p>
    <w:p>
      <w:pPr>
        <w:keepNext w:val="0"/>
        <w:pageBreakBefore w:val="0"/>
        <w:widowControl/>
        <w:spacing w:line="360" w:lineRule="auto" w:before="12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/>
          <w:color w:val="000000"/>
          <w:sz w:val="32"/>
          <w:u w:val="single"/>
        </w:rPr>
        <w:t>Расчёты исторических данных по населению на основе археологии: удельные княжества Древней Руси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2835"/>
        <w:gridCol w:w="2835"/>
      </w:tblGrid>
      <w:tr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pageBreakBefore w:val="0"/>
              <w:widowControl/>
              <w:spacing w:line="240" w:lineRule="auto" w:before="120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Студент ИУ5-52Б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(Группа)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120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________________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120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Е.А. Купрюшин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(И.О. Фамилия)</w:t>
            </w:r>
          </w:p>
        </w:tc>
      </w:tr>
      <w:tr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Руководитель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________________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А.И. Канев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(И.О. Фамилия)</w:t>
            </w:r>
          </w:p>
        </w:tc>
      </w:tr>
    </w:tbl>
    <w:p>
      <w:pPr>
        <w:keepNext w:val="0"/>
        <w:pageBreakBefore w:val="0"/>
        <w:widowControl/>
        <w:spacing w:line="240" w:lineRule="auto" w:before="300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Москва, 2026</w:t>
      </w:r>
    </w:p>
    <w:p>
      <w:pPr>
        <w:pStyle w:val="Heading1"/>
        <w:keepNext/>
        <w:pageBreakBefore/>
        <w:widowControl/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АРХИТЕКТУРА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Схема базы данных приведена на рисунке 1. Структура классов веб-сервиса приведена на рисунке 2.</w:t>
      </w:r>
    </w:p>
    <w:p>
      <w:pPr>
        <w:keepNext/>
        <w:pageBreakBefore w:val="0"/>
        <w:widowControl/>
        <w:spacing w:line="240" w:lineRule="auto" w:before="12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760000" cy="28130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principa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="360" w:lineRule="auto" w:before="0" w:after="12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1 – ER-диаграмма базы данных</w:t>
      </w:r>
    </w:p>
    <w:p>
      <w:pPr>
        <w:keepNext/>
        <w:pageBreakBefore w:val="0"/>
        <w:widowControl/>
        <w:spacing w:line="240" w:lineRule="auto" w:before="12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547442" cy="61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-princip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7442" cy="61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="360" w:lineRule="auto" w:before="0" w:after="12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2 – Диаграмма классов</w:t>
      </w:r>
    </w:p>
    <w:p>
      <w:pPr>
        <w:pStyle w:val="Heading1"/>
        <w:keepNext/>
        <w:pageBreakBefore/>
        <w:widowControl/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АЛГОРИТМЫ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Последовательность HTTP-запросов приведена на рисунке 3.</w:t>
      </w:r>
    </w:p>
    <w:p>
      <w:pPr>
        <w:keepNext/>
        <w:pageBreakBefore w:val="0"/>
        <w:widowControl/>
        <w:spacing w:line="240" w:lineRule="auto" w:before="12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443341" cy="61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principa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3341" cy="61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="360" w:lineRule="auto" w:before="0" w:after="12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3 – Диаграмма последовательности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Расчёт выполнен для сервера с веб-сервисом, PostgreSQL, Minio и Redis. В системе работают 160 археологов — штат Института археологии РАН (буклет института, archaeolog.ru, 2016), рабочий день 8 часов, то есть 28 800 секунд, археолог просматривает 10 княжеств в день. Суточное количество княжеств — формула 1.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sSub>
          <m:e>
            <m:r>
              <w:rPr>
                <w:sz w:val="28"/>
              </w:rPr>
              <m:t xml:space="preserve">N</m:t>
            </m:r>
          </m:e>
          <m:sub>
            <m:r>
              <w:rPr>
                <w:sz w:val="28"/>
              </w:rPr>
              <m:t xml:space="preserve">сут</m:t>
            </m:r>
          </m:sub>
        </m:sSub>
        <m:r>
          <w:rPr>
            <w:sz w:val="28"/>
          </w:rPr>
          <m:t xml:space="preserve"> = 160 · 10 = 1 600 княжеств в сутки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(1)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одно княжество по диаграмме последовательности приходится 8 HTTP-запросов: вход, плитка, добавление, черновик, публикация, лента, следующее княжество, лайк. RPS вычисляется по формуле 2.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r>
          <w:rPr>
            <w:sz w:val="28"/>
          </w:rPr>
          <m:t xml:space="preserve">RPS = </m:t>
        </m:r>
        <m:f>
          <m:num>
            <m:r>
              <w:rPr>
                <w:sz w:val="28"/>
              </w:rPr>
              <m:t xml:space="preserve">1 600 · 8</m:t>
            </m:r>
          </m:num>
          <m:den>
            <m:r>
              <w:rPr>
                <w:sz w:val="28"/>
              </w:rPr>
              <m:t xml:space="preserve">28 800</m:t>
            </m:r>
          </m:den>
        </m:f>
        <m:r>
          <w:rPr>
            <w:sz w:val="28"/>
          </w:rPr>
          <m:t xml:space="preserve"> ≈ 0,44 запроса в секунду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(2)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Число ядер — формула 3 при производительности ядра 1 418 запросов в секунду (ab -n 3000 -c 20 на GET /api/principalities при GOMAXPROCS=1) и коэффициенте запаса 1,5; принимаются 2 ядра, так как на сервере также работают PostgreSQL, Redis и Minio. Оперативная память — формула 4 из нормы 4 ГБ на ядро.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sSub>
          <m:e>
            <m:r>
              <w:rPr>
                <w:sz w:val="28"/>
              </w:rPr>
              <m:t xml:space="preserve">N</m:t>
            </m:r>
          </m:e>
          <m:sub>
            <m:r>
              <w:rPr>
                <w:sz w:val="28"/>
              </w:rPr>
              <m:t xml:space="preserve">ядер</m:t>
            </m:r>
          </m:sub>
        </m:sSub>
        <m:r>
          <w:rPr>
            <w:sz w:val="28"/>
          </w:rPr>
          <m:t xml:space="preserve"> = </m:t>
        </m:r>
        <m:f>
          <m:num>
            <m:r>
              <w:rPr>
                <w:sz w:val="28"/>
              </w:rPr>
              <m:t xml:space="preserve">RPS</m:t>
            </m:r>
          </m:num>
          <m:den>
            <m:sSub>
              <m:e>
                <m:r>
                  <w:rPr>
                    <w:sz w:val="28"/>
                  </w:rPr>
                  <m:t xml:space="preserve">RPS</m:t>
                </m:r>
              </m:e>
              <m:sub>
                <m:r>
                  <w:rPr>
                    <w:sz w:val="28"/>
                  </w:rPr>
                  <m:t xml:space="preserve">ядра</m:t>
                </m:r>
              </m:sub>
            </m:sSub>
          </m:den>
        </m:f>
        <m:r>
          <w:rPr>
            <w:sz w:val="28"/>
          </w:rPr>
          <m:t xml:space="preserve"> · </m:t>
        </m:r>
        <m:sSub>
          <m:e>
            <m:r>
              <w:rPr>
                <w:sz w:val="28"/>
              </w:rPr>
              <m:t xml:space="preserve">k</m:t>
            </m:r>
          </m:e>
          <m:sub>
            <m:r>
              <w:rPr>
                <w:sz w:val="28"/>
              </w:rPr>
              <m:t xml:space="preserve">зап</m:t>
            </m:r>
          </m:sub>
        </m:sSub>
        <m:r>
          <w:rPr>
            <w:sz w:val="28"/>
          </w:rPr>
          <m:t xml:space="preserve"> = </m:t>
        </m:r>
        <m:f>
          <m:num>
            <m:r>
              <w:rPr>
                <w:sz w:val="28"/>
              </w:rPr>
              <m:t xml:space="preserve">0,44</m:t>
            </m:r>
          </m:num>
          <m:den>
            <m:r>
              <w:rPr>
                <w:sz w:val="28"/>
              </w:rPr>
              <m:t xml:space="preserve">1 418</m:t>
            </m:r>
          </m:den>
        </m:f>
        <m:r>
          <w:rPr>
            <w:sz w:val="28"/>
          </w:rPr>
          <m:t xml:space="preserve"> · 1,5 ≈ 0,0005 → 2 ядра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(3)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r>
          <w:rPr>
            <w:sz w:val="28"/>
          </w:rPr>
          <m:t xml:space="preserve">ОП = 4 · </m:t>
        </m:r>
        <m:sSub>
          <m:e>
            <m:r>
              <w:rPr>
                <w:sz w:val="28"/>
              </w:rPr>
              <m:t xml:space="preserve">N</m:t>
            </m:r>
          </m:e>
          <m:sub>
            <m:r>
              <w:rPr>
                <w:sz w:val="28"/>
              </w:rPr>
              <m:t xml:space="preserve">ядер</m:t>
            </m:r>
          </m:sub>
        </m:sSub>
        <m:r>
          <w:rPr>
            <w:sz w:val="28"/>
          </w:rPr>
          <m:t xml:space="preserve"> = 4 · 2 = 8 ГБ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(4)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Размер записи principality — формула 5: заголовок строки 24 Б, два идентификатора по 4 Б, название varchar(120) 241 Б, описание varchar(600) 1 201 Б, статус varchar(16) 33 Б, два ключа медиа varchar(80) по 161 Б, дата основания 4 Б, коэффициент земли и две даты по 8 Б. Запись principality_like 36 Б, изображение и видео княжества 749 КБ и 948 КБ.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sSub>
          <m:e>
            <m:r>
              <w:rPr>
                <w:sz w:val="28"/>
              </w:rPr>
              <m:t xml:space="preserve">S</m:t>
            </m:r>
          </m:e>
          <m:sub>
            <m:r>
              <w:rPr>
                <w:sz w:val="28"/>
              </w:rPr>
              <m:t xml:space="preserve">княж</m:t>
            </m:r>
          </m:sub>
        </m:sSub>
        <m:r>
          <w:rPr>
            <w:sz w:val="28"/>
          </w:rPr>
          <m:t xml:space="preserve"> = 24 + 4 · 2 + 241 + 1 201 + 33 + 161 · 2 + 4 + 8 · 3 = 1 857 Б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(5)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день публикуется 50 княжеств, годовое количество — формула 6. Каждый археолог ставит 5 лайков в день, то есть 292 000 лайков в год; прирост базы данных — формула 7, прирост Minio — формула 8, объём диска за 5 лет с резервом 10 ГБ — формула 9.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sSub>
          <m:e>
            <m:r>
              <w:rPr>
                <w:sz w:val="28"/>
              </w:rPr>
              <m:t xml:space="preserve">N</m:t>
            </m:r>
          </m:e>
          <m:sub>
            <m:r>
              <w:rPr>
                <w:sz w:val="28"/>
              </w:rPr>
              <m:t xml:space="preserve">год</m:t>
            </m:r>
          </m:sub>
        </m:sSub>
        <m:r>
          <w:rPr>
            <w:sz w:val="28"/>
          </w:rPr>
          <m:t xml:space="preserve"> = 50 · 365 = 18 250 княжеств в год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(6)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sSub>
          <m:e>
            <m:r>
              <w:rPr>
                <w:sz w:val="28"/>
              </w:rPr>
              <m:t xml:space="preserve">V</m:t>
            </m:r>
          </m:e>
          <m:sub>
            <m:r>
              <w:rPr>
                <w:sz w:val="28"/>
              </w:rPr>
              <m:t xml:space="preserve">БД</m:t>
            </m:r>
          </m:sub>
        </m:sSub>
        <m:r>
          <w:rPr>
            <w:sz w:val="28"/>
          </w:rPr>
          <m:t xml:space="preserve"> = </m:t>
        </m:r>
        <m:f>
          <m:num>
            <m:r>
              <w:rPr>
                <w:sz w:val="28"/>
              </w:rPr>
              <m:t xml:space="preserve">18 250 · 1 857 + 292 000 · 36</m:t>
            </m:r>
          </m:num>
          <m:den>
            <m:sSup>
              <m:e>
                <m:r>
                  <w:rPr>
                    <w:sz w:val="28"/>
                  </w:rPr>
                  <m:t xml:space="preserve">1024</m:t>
                </m:r>
              </m:e>
              <m:sup>
                <m:r>
                  <w:rPr>
                    <w:sz w:val="28"/>
                  </w:rPr>
                  <m:t xml:space="preserve">3</m:t>
                </m:r>
              </m:sup>
            </m:sSup>
          </m:den>
        </m:f>
        <m:r>
          <w:rPr>
            <w:sz w:val="28"/>
          </w:rPr>
          <m:t xml:space="preserve"> ≈ 0,04 ГБ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(7)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sSub>
          <m:e>
            <m:r>
              <w:rPr>
                <w:sz w:val="28"/>
              </w:rPr>
              <m:t xml:space="preserve">V</m:t>
            </m:r>
          </m:e>
          <m:sub>
            <m:r>
              <w:rPr>
                <w:sz w:val="28"/>
              </w:rPr>
              <m:t xml:space="preserve">Minio</m:t>
            </m:r>
          </m:sub>
        </m:sSub>
        <m:r>
          <w:rPr>
            <w:sz w:val="28"/>
          </w:rPr>
          <m:t xml:space="preserve"> = </m:t>
        </m:r>
        <m:f>
          <m:num>
            <m:r>
              <w:rPr>
                <w:sz w:val="28"/>
              </w:rPr>
              <m:t xml:space="preserve">18 250 · (749 + 948)</m:t>
            </m:r>
          </m:num>
          <m:den>
            <m:sSup>
              <m:e>
                <m:r>
                  <w:rPr>
                    <w:sz w:val="28"/>
                  </w:rPr>
                  <m:t xml:space="preserve">1024</m:t>
                </m:r>
              </m:e>
              <m:sup>
                <m:r>
                  <w:rPr>
                    <w:sz w:val="28"/>
                  </w:rPr>
                  <m:t xml:space="preserve">2</m:t>
                </m:r>
              </m:sup>
            </m:sSup>
          </m:den>
        </m:f>
        <m:r>
          <w:rPr>
            <w:sz w:val="28"/>
          </w:rPr>
          <m:t xml:space="preserve"> ≈ 29,5 ГБ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(8)</w:t>
      </w:r>
    </w:p>
    <w:p>
      <w:pPr>
        <w:keepNext w:val="0"/>
        <w:pageBreakBefore w:val="0"/>
        <w:widowControl/>
        <w:tabs>
          <w:tab w:pos="4677" w:val="center"/>
          <w:tab w:pos="9354" w:val="right"/>
        </w:tabs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ab/>
      </w:r>
      <m:oMath>
        <m:sSub>
          <m:e>
            <m:r>
              <w:rPr>
                <w:sz w:val="28"/>
              </w:rPr>
              <m:t xml:space="preserve">V</m:t>
            </m:r>
          </m:e>
          <m:sub>
            <m:r>
              <w:rPr>
                <w:sz w:val="28"/>
              </w:rPr>
              <m:t xml:space="preserve">диск</m:t>
            </m:r>
          </m:sub>
        </m:sSub>
        <m:r>
          <w:rPr>
            <w:sz w:val="28"/>
          </w:rPr>
          <m:t xml:space="preserve"> = 5 · (0,04 + 29,5) + 10 ≈ 158 ГБ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ab/>
        <w:t>(9)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Принимается диск объёмом 160 ГБ: 2 ядра, 8 ГБ оперативной памяти, 160 ГБ диска.</w:t>
      </w:r>
    </w:p>
    <w:p>
      <w:pPr>
        <w:sectPr>
          <w:footerReference w:type="default" r:id="rId9"/>
          <w:pgSz w:w="11906" w:h="16838"/>
          <w:pgMar w:top="1134" w:right="850" w:bottom="1134" w:left="1701" w:header="720" w:footer="567" w:gutter="0"/>
          <w:cols w:space="720"/>
          <w:titlePg/>
          <w:docGrid w:linePitch="360"/>
        </w:sectPr>
      </w:pPr>
    </w:p>
    <w:p>
      <w:pPr>
        <w:pStyle w:val="Heading1"/>
        <w:keepNext w:val="0"/>
        <w:pageBreakBefore/>
        <w:widowControl/>
        <w:spacing w:line="36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>ПРИЛОЖЕНИЕ 1</w:t>
        <w:br/>
      </w:r>
      <w:r>
        <w:rPr>
          <w:rFonts w:ascii="Times New Roman" w:hAnsi="Times New Roman" w:eastAsia="Times New Roman" w:cs="Times New Roman"/>
          <w:b/>
          <w:color w:val="000000"/>
          <w:sz w:val="32"/>
        </w:rPr>
        <w:t>Техническое задание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Федеральное государственное автономное образовательное учреждение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высшего образования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(национальный исследовательский университет)»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  <w:pBdr>
          <w:bottom w:val="single" w:sz="24" w:space="1" w:color="000000"/>
        </w:pBdr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(МГТУ им. Н.Э. Баумана)</w:t>
      </w:r>
    </w:p>
    <w:p>
      <w:pPr>
        <w:keepNext w:val="0"/>
        <w:pageBreakBefore w:val="0"/>
        <w:widowControl/>
        <w:spacing w:line="240" w:lineRule="auto" w:before="0" w:after="48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Кафедра «Системы обработки информации и управления»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2438"/>
        <w:gridCol w:w="737"/>
        <w:gridCol w:w="1871"/>
        <w:gridCol w:w="2438"/>
      </w:tblGrid>
      <w:tr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СОГЛАСОВАНО</w:t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УТВЕРЖДАЮ</w:t>
            </w:r>
          </w:p>
        </w:tc>
      </w:tr>
      <w:tr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Руководитель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 xml:space="preserve">Заведующий кафедрой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single"/>
              </w:rPr>
              <w:t xml:space="preserve">  ИУ-5  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(Индекс кафедры)</w:t>
            </w:r>
          </w:p>
        </w:tc>
      </w:tr>
      <w:tr>
        <w:tc>
          <w:tcPr>
            <w:tcW w:type="dxa" w:w="1871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</w:r>
          </w:p>
        </w:tc>
        <w:tc>
          <w:tcPr>
            <w:tcW w:type="dxa" w:w="2438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А.И. Канев</w:t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1871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</w:r>
          </w:p>
        </w:tc>
        <w:tc>
          <w:tcPr>
            <w:tcW w:type="dxa" w:w="2438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В.И. Терехов</w:t>
            </w:r>
          </w:p>
        </w:tc>
      </w:tr>
      <w:tr>
        <w:tc>
          <w:tcPr>
            <w:tcW w:type="dxa" w:w="1871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(подпись)</w:t>
            </w:r>
          </w:p>
        </w:tc>
        <w:tc>
          <w:tcPr>
            <w:tcW w:type="dxa" w:w="243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(инициалы и фамилия)</w:t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1871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(подпись)</w:t>
            </w:r>
          </w:p>
        </w:tc>
        <w:tc>
          <w:tcPr>
            <w:tcW w:type="dxa" w:w="243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(инициалы и фамилия)</w:t>
            </w:r>
          </w:p>
        </w:tc>
      </w:tr>
      <w:tr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«____» ____________ 2026 г.</w:t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«____» ____________ 2026 г.</w:t>
            </w:r>
          </w:p>
        </w:tc>
      </w:tr>
    </w:tbl>
    <w:p>
      <w:pPr>
        <w:keepNext w:val="0"/>
        <w:pageBreakBefore w:val="0"/>
        <w:widowControl/>
        <w:spacing w:line="240" w:lineRule="auto" w:before="84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6"/>
          <w:u w:val="none"/>
        </w:rPr>
        <w:t>Расчёты исторических данных по населению на основе археологии: удельные княжества Древней Руси</w:t>
      </w:r>
    </w:p>
    <w:p>
      <w:pPr>
        <w:keepNext w:val="0"/>
        <w:pageBreakBefore w:val="0"/>
        <w:widowControl/>
        <w:spacing w:line="240" w:lineRule="auto" w:before="48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  <w:u w:val="single"/>
        </w:rPr>
        <w:t>ТЕХНИЧЕСКОЕ ЗАДАНИЕ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  <w:u w:val="none"/>
        </w:rPr>
        <w:t>(вид документа)</w:t>
      </w:r>
    </w:p>
    <w:p>
      <w:pPr>
        <w:keepNext w:val="0"/>
        <w:pageBreakBefore w:val="0"/>
        <w:widowControl/>
        <w:spacing w:line="240" w:lineRule="auto" w:before="24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  <w:u w:val="none"/>
        </w:rPr>
        <w:t>по ГОСТ 19.201-78 Единая система программной документации. Техническое задание.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  <w:u w:val="none"/>
        </w:rPr>
        <w:t>Требования к содержанию и оформлению</w:t>
      </w:r>
    </w:p>
    <w:p>
      <w:pPr>
        <w:keepNext w:val="0"/>
        <w:pageBreakBefore w:val="0"/>
        <w:widowControl/>
        <w:spacing w:line="240" w:lineRule="auto" w:before="36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single"/>
        </w:rPr>
        <w:t>писчая бумага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  <w:u w:val="none"/>
        </w:rPr>
        <w:t>(вид носителя данных)</w:t>
      </w:r>
    </w:p>
    <w:p>
      <w:pPr>
        <w:keepNext w:val="0"/>
        <w:pageBreakBefore w:val="0"/>
        <w:widowControl/>
        <w:spacing w:line="240" w:lineRule="auto" w:before="360" w:after="36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Листов 8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454"/>
        <w:gridCol w:w="2835"/>
      </w:tblGrid>
      <w:tr>
        <w:tc>
          <w:tcPr>
            <w:tcW w:type="dxa" w:w="5670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12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 xml:space="preserve">Исполнитель: студент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single"/>
              </w:rPr>
              <w:t>ИУ5-52Б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</w: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Е.А. Купрюшин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(подпись)</w:t>
            </w: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(инициалы и фамилия)</w:t>
            </w:r>
          </w:p>
        </w:tc>
      </w:tr>
      <w:tr>
        <w:tc>
          <w:tcPr>
            <w:tcW w:type="dxa" w:w="5670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«____» ______________ 2026 г.</w:t>
            </w:r>
          </w:p>
        </w:tc>
      </w:tr>
    </w:tbl>
    <w:p>
      <w:pPr>
        <w:keepNext w:val="0"/>
        <w:pageBreakBefore w:val="0"/>
        <w:widowControl/>
        <w:spacing w:line="240" w:lineRule="auto" w:before="60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2026</w:t>
      </w:r>
    </w:p>
    <w:p>
      <w:pPr>
        <w:keepNext/>
        <w:pageBreakBefore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Цель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Разработать веб-сервис и веб-приложение для каталога удельных княжеств Древней Руси с археологическими данными об укреплениях, по которым оценивается население княжеств.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Назначение разработки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Система предназначена для накопления и просмотра археологических данных об удельных княжествах. В ней работают две группы пользователей. Гость просматривает плитку опубликованных княжеств с фильтром по дате основания и ленту, в которой княжества показываются по одному с видео укреплений, а также может зарегистрироваться и войти. Создатель (авторизованный археолог) дополнительно добавляет княжество с изображением и видео, дописывает в черновике описание раскопок, дату основания и коэффициент земли, публикует черновик, ставит и снимает лайки и удаляет свои княжества.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Задачи разработки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Дизайн интерфейса в Figma и страницы ленты, плитки и добавления княжества на шаблонах – Figma, Go, gin, html/template, CSS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База данных княжеств, археологов и лайков с логическим удалением, хранение изображений и видео в объектном хранилище – PostgreSQL 16, GORM, Adminer, Minio, Docker Compose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Веб-сервис с доменами княжеств и археологов – Go 1.26, gin, GORM, minio-go/v7, Postman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Аутентификация и авторизация археологов, описание API – JWT (golang-jwt/jwt), Redis 6.2 для blacklist токенов, go-redis, swaggo/swag, Swagger UI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Базовое SPA гостя: лента и плитка княжеств с фильтром по дате основания на mock-данных – React 19, TypeScript, Vite, React-Bootstrap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Интерфейс создателя: вход, добавление княжества, лайки и удаление, подключение к веб-сервису – Redux Toolkit, redux-thunk, axios, кодогенерация из Swagger, прокси Vite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Хранение фильтра в менеджере состояний, адаптивность и PWA – Redux Toolkit, React-Bootstrap, PWA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Демонстрация фронтенда в GitHub Pages – GitHub Pages, HTTPS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3.9.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Документация: ТЗ, РПЗ, диаграммы ER, классов, последовательности, прецедентов и развертывания – StarUML, Swagger, оформление по ГОСТ 7.32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3.10.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Репозитории Git principality-backend и principality-frontend с ветками по теме – Git, GitHub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3.11.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Индексы в базе данных: более 100 000 княжеств, пагинация в React и ограничение количества в методе бэкенда, формирование ленты из 100 карточек в Redis – PostgreSQL 16, Redis 6.2, React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3.12.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Межсервисное взаимодействие: асинхронный сервис с одним HTTP-методом, который с задержкой 5–10 секунд обновляет положение 3D-модели княжества, просмотр модели в ленте через Three.js и Short Polling – NestJS, HTTP, Three.js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Функциональные требования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HTTP-методы веб-сервиса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GET /api/principalities?foundedBefore= – список опубликованных княжеств с фильтром по дате основания;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GET /api/principalities/feed, /api/principalities/feed/{principalityId}?next=true – лента: первое опубликованное княжество, княжество по идентификатору или следующее за ним;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GET /api/principalities/draft – черновик княжества текущего археолога; доступно только авторизованным археологам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/api/principalities – создание черновика княжества с изображением и видео; доступно только авторизованным археологам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PUT /api/principalities/draft/publish – публикация черновика текущего археолога; доступно только авторизованным археологам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DELETE /api/principalities/{principalityId} – логическое удаление своего княжества; доступно только авторизованному археологу, создателю княжества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/api/principalities/{principalityId}/like – постановка и снятие лайка княжеству; доступно только авторизованным археологам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/api/archaeologists – регистрация археолога;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4.1.9.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/api/archaeologists/login – аутентификация археолога, выдача JWT;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4.1.10.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/api/archaeologists/logout – деавторизация археолога, JWT заносится в blacklist Redis; доступно только авторизованным археологам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Меню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Отображается снизу на всех страницах приложения в виде навигационной панели из четырёх пунктов: «Лента», «Добавление», «Плитка», «Вход»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Гостю доступны пункты «Лента», «Плитка» и «Вход», пункт «Добавление» недоступен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Создателю доступны все пункты, вместо пункта «Вход» отображается «Выход»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Лента – переход на страницу 4.5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Плитка – переход на страницу 4.4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Добавление – переход на страницу 4.6, только создателю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Вход – переход на страницу 4.3, только гостю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Выход – деавторизация (вызывается метод 4.1.10), сброс фильтра и переключение на интерфейс гостя, только создателю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Аутентификация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Доступна гостю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 форму входа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Поле логина археолога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Поле пароля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Войти – вызывается метод 4.1.9, полученный токен сохраняется, интерфейс переключается на интерфейс создателя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Зарегистрироваться – вызывается метод 4.1.8, затем вход по введённым логину и паролю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Плитка княжеств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Доступна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 карточки опубликованных княжеств (вызывается метод 4.1.1)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Изображение укреплений, при отсутствии – изображение по умолчанию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Название княжества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Год основания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Коэффициент земли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Число лайков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Фильтр по дате основания – дата выбирается в календаре, по кнопке вызывается метод 4.1.1 с параметром foundedBefore,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Открыть карточку – переход на страницу 4.5 к выбранному княжеству (вызывается метод 4.1.2),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Лайк – ставит или снимает лайк (вызывается метод 4.1.7), только создателю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Удалить – удаляет своё княжество (вызывается метод 4.1.6), кнопка видна только на карточках с признаком created_by_current_archaeologist = 1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Лента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Доступна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 одно опубликованное княжество (вызывается метод 4.1.2)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Видео укреплений с автоматическим воспроизведением, при отсутствии – видео по умолчанию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Название княжества и описание раскопок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Год основания и коэффициент земли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Число лайков и признак лайка текущего археолога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Далее – переход к следующему княжеству (вызывается метод 4.1.2 с параметром next=true), после последнего лента начинается с первого,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Лайк – ставит или снимает лайк (вызывается метод 4.1.7), только создателю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Добавление княжества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Доступна только создателю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 форму нового княжества или текущий черновик (вызывается метод 4.1.3)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Поле названия княжества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Поля загрузки изображения и видео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черновика – поле описания раскопок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черновика – поле даты основания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черновика – поле коэффициента земли (от 0 до 1)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Далее – создаёт черновик с названием, изображением и видео (вызывается метод 4.1.4)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Опубликовать – публикует черновик с описанием, датой основания и коэффициентом (вызывается метод 4.1.5), княжество появляется в плитке и ленте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Требования к составу и параметрам технических средств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Сервер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5.1.1.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Процессор x86-64 или ARM64, не менее 2 ядер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5.1.2.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Оперативная память не менее 8 ГБ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5.1.3.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Свободное место на диске не менее 160 ГБ (база данных и объектное хранилище за 5 лет с запасом)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Клиент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Компьютер или смартфон с процессором не менее 2 ядер (проверено на Apple M4)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Оперативная память не менее 4 ГБ (проверено на 16 ГБ)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Свободное место на диске не менее 500 МБ для браузера и PWA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6.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Требования к информационной и программной совместимости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Серверная часть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ОС Ubuntu Server 24.04 LTS или другой дистрибутив Linux с ядром 6.x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Docker Engine 28.1.1, Docker Compose 2.35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Go 1.26: gin 1.12.0, GORM 1.31.2, драйвер gorm/postgres 1.6.2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СУБД PostgreSQL 16 (образ postgres:16-alpine)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Redis 6.2 (образ redis:6.2-alpine), клиент go-redis/redis 8.11.5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Minio RELEASE.2025-09-07T16-13-09Z, клиент minio-go 7.3.0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Adminer 6.1.1 (образ adminer)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golang-jwt/jwt 3.2.2, swaggo/swag 1.16.6, gin-swagger 1.6.1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6.1.9.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 к сети Интернет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Клиентская часть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Браузер Safari 26.5.2 или Google Chrome 155.0.8059.40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Фронтенд: React 19.3.1, TypeScript 7.0.2, Vite 8.3.5, React-Bootstrap 2.10.10, react-router-dom 7.18.4; сборка в Node.js 24.3.0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Планируемые: Redux Toolkit 2.13.0, axios 1.20.0</w:t>
      </w:r>
    </w:p>
    <w:p>
      <w:pPr>
        <w:sectPr>
          <w:footerReference w:type="first" r:id="rId14"/>
          <w:pgSz w:w="11906" w:h="16838"/>
          <w:pgMar w:top="1134" w:right="850" w:bottom="1134" w:left="1701" w:header="720" w:footer="567" w:gutter="0"/>
          <w:cols w:space="720"/>
          <w:titlePg/>
          <w:docGrid w:linePitch="360"/>
        </w:sectPr>
      </w:pPr>
    </w:p>
    <w:p>
      <w:pPr>
        <w:pStyle w:val="Heading1"/>
        <w:keepNext/>
        <w:pageBreakBefore w:val="0"/>
        <w:widowControl/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ПРИЛОЖЕНИЕ 2 ТАБЛИЦА МЕТОДОВ ВЕБ-СЕРВИСА</w:t>
      </w:r>
    </w:p>
    <w:p>
      <w:pPr>
        <w:keepNext/>
        <w:pageBreakBefore w:val="0"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Таблица 1 – HTTP-методы веб-сервиса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134"/>
        <w:gridCol w:w="2494"/>
        <w:gridCol w:w="2381"/>
        <w:gridCol w:w="2098"/>
        <w:gridCol w:w="2665"/>
        <w:gridCol w:w="2665"/>
      </w:tblGrid>
      <w:tr>
        <w:trPr>
          <w:tblHeader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№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HTTP-метод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URL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Описание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Доступ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Входные данные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Выходные данные</w:t>
            </w:r>
          </w:p>
        </w:tc>
      </w:tr>
      <w:tr>
        <w:tc>
          <w:tcPr>
            <w:tcW w:type="dxa" w:w="2665"/>
            <w:gridSpan w:val="7"/>
          </w:tcPr>
          <w:p>
            <w:pPr>
              <w:keepNext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Домен княжеств /api/principalities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4.1.1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/api/principalities?foundedBefore=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Список опубликованных княжеств с фильтром по дате основания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Гость и авторизованный археолог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query foundedBefore: string (ГГГГ-ММ-ДД), необязательный; заголовок Authorization необязателен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массив объектов княжества: principality_id: integer, principality_name: string, principality_summary: string, principality_status: string (draft, published), image_key: string, video_key: string, principality_image_url: string, principality_video_url: string, founding_date: string (RFC 3339), land_coefficient: number, created_at: string (RFC 3339), published_at: string (RFC 3339), created_by: integer, principality_like_count: integer, created_by_current_archaeologist: integer (0/1); 400,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4.1.2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/api/principalities/feed, /api/principalities/feed/{principalityId}?next=true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Лента: первое опубликованное княжество, княжество по идентификатору или следующее за ним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Гость и авторизованный археолог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path principalityId: integer, необязательный; query next: string (true); заголовок Authorization необязателен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объект княжества (поля как в 4.1.1), principality_like_count: integer, principality_liked: integer (0/1); 400, 404,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4.1.3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/api/principalities/draft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Черновик княжества текущего археолога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черновик княжества (поля как в 4.1.1); 403, 404,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4.1.4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Создание черновика княжества с изображением и видео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&lt;access_token&gt;; multipart/form-data: principality_name: string, principality_image: file, principality_video: file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201: черновик княжества (поля как в 4.1.1), image_key и video_key сгенерированы сервером; 400, 403, 409,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4.1.5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PUT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/api/principalities/draft/publish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Публикация черновика текущего археолога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&lt;access_token&gt;; JSON: principality_summary: string, founding_date: string (ГГГГ-ММ-ДД), land_coefficient: number (от 0 до 1)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опубликованное княжество (поля как в 4.1.1); 400, 403, 404, 409,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4.1.6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DELETE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/api/principalities/{principalityId}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Логическое удаление своего княжества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археолог, создатель княжества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&lt;access_token&gt;; path principalityId: integer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status: string, message: string; 400, 403, 404,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4.1.7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/api/principalities/{principalityId}/like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Постановка и снятие лайка княжеству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&lt;access_token&gt;; path principalityId: integer; JSON: principality_liked: integer (1 – поставить, 0 – снять)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principality_id: integer, principality_liked: integer, principality_like_count: integer; 400, 403, 404, 500</w:t>
            </w:r>
          </w:p>
        </w:tc>
      </w:tr>
      <w:tr>
        <w:tc>
          <w:tcPr>
            <w:tcW w:type="dxa" w:w="2665"/>
            <w:gridSpan w:val="7"/>
          </w:tcPr>
          <w:p>
            <w:pPr>
              <w:keepNext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Домен археологов /api/archaeologists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4.1.8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/api/archaeologists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Регистрация археолога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Гость и авторизованный археолог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JSON: archaeologist_login: string (до 25 символов), archaeologist_password: string (до 100 символов)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201: archaeologist_id: integer, archaeologist_login: string, is_chronicle_keeper: boolean; 400, 409,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4.1.9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/api/archaeologists/login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Аутентификация археолога, выдача JWT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Гость и авторизованный археолог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JSON: archaeologist_login: string, archaeologist_password: string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access_token: string, expires_in: integer, token_type: string (Bearer); 400, 403,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4.1.10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/api/archaeologists/logout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Деавторизация археолога, JWT заносится в blacklist Redis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пустое тело; 400, 500</w:t>
            </w:r>
          </w:p>
        </w:tc>
      </w:tr>
    </w:tbl>
    <w:sectPr w:rsidR="00FC693F" w:rsidRPr="0006063C" w:rsidSect="00034616">
      <w:pgSz w:w="16838" w:h="11906" w:orient="landscape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pageBreakBefore w:val="0"/>
      <w:widowControl/>
      <w:spacing w:line="240" w:lineRule="auto" w:before="0" w:after="0"/>
      <w:ind w:firstLine="0" w:left="0" w:right="0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документации ЛР-4: РПЗ, ТЗ, методы веб-сервиса</dc:title>
  <dc:subject/>
  <dc:creator>Е.А. Купрюшин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