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theme/theme1.xml" ContentType="application/vnd.openxmlformats-officedocument.theme+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6.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11.xml" ContentType="application/vnd.openxmlformats-officedocument.wordprocessingml.footer+xml"/>
  <Override PartName="/word/footer6.xml" ContentType="application/vnd.openxmlformats-officedocument.wordprocessingml.footer+xml"/>
  <Override PartName="/word/footer12.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13.xml" ContentType="application/vnd.openxmlformats-officedocument.wordprocessingml.header+xml"/>
  <Override PartName="/word/embeddings/oleObject11.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8.bin" ContentType="application/vnd.openxmlformats-officedocument.oleObject"/>
  <Override PartName="/word/embeddings/oleObject5.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4.bin" ContentType="application/vnd.openxmlformats-officedocument.oleObject"/>
  <Override PartName="/word/embeddings/oleObject3.bin" ContentType="application/vnd.openxmlformats-officedocument.oleObject"/>
  <Override PartName="/word/embeddings/oleObject2.bin" ContentType="application/vnd.openxmlformats-officedocument.oleObject"/>
  <Override PartName="/word/embeddings/oleObject1.bin" ContentType="application/vnd.openxmlformats-officedocument.oleObject"/>
  <Override PartName="/word/footer4.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15.xml" ContentType="application/vnd.openxmlformats-officedocument.wordprocessingml.footer+xml"/>
  <Override PartName="/word/media/image12.emf" ContentType="image/x-emf"/>
  <Override PartName="/word/media/image7.emf" ContentType="image/x-emf"/>
  <Override PartName="/word/media/image10.emf" ContentType="image/x-emf"/>
  <Override PartName="/word/media/image6.emf" ContentType="image/x-emf"/>
  <Override PartName="/word/media/image11.emf" ContentType="image/x-emf"/>
  <Override PartName="/word/media/image9.emf" ContentType="image/x-emf"/>
  <Override PartName="/word/media/image5.emf" ContentType="image/x-emf"/>
  <Override PartName="/word/media/image2.emf" ContentType="image/x-emf"/>
  <Override PartName="/word/media/image8.emf" ContentType="image/x-emf"/>
  <Override PartName="/word/media/image4.emf" ContentType="image/x-emf"/>
  <Override PartName="/word/media/image3.emf" ContentType="image/x-emf"/>
  <Override PartName="/word/media/image1.jpeg" ContentType="image/jpeg"/>
  <Override PartName="/word/footer9.xml" ContentType="application/vnd.openxmlformats-officedocument.wordprocessingml.footer+xml"/>
  <Override PartName="/word/styles.xml" ContentType="application/vnd.openxmlformats-officedocument.wordprocessingml.styles+xml"/>
  <Override PartName="/word/header11.xml" ContentType="application/vnd.openxmlformats-officedocument.wordprocessingml.header+xml"/>
  <Override PartName="/word/header14.xml" ContentType="application/vnd.openxmlformats-officedocument.wordprocessingml.header+xml"/>
  <Override PartName="/word/footer2.xml" ContentType="application/vnd.openxmlformats-officedocument.wordprocessingml.footer+xml"/>
  <Override PartName="/word/document.xml" ContentType="application/vnd.openxmlformats-officedocument.wordprocessingml.document.main+xml"/>
  <Override PartName="/word/header9.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Memoheader"/>
        <w:spacing w:before="240" w:after="0"/>
        <w:rPr>
          <w:b/>
          <w:b/>
          <w:bCs/>
          <w:color w:val="000000" w:themeColor="text1"/>
        </w:rPr>
      </w:pPr>
      <w:r>
        <w:rPr>
          <w:b/>
          <w:bCs/>
          <w:color w:val="000000" w:themeColor="text1"/>
        </w:rPr>
      </w:r>
    </w:p>
    <w:p>
      <w:pPr>
        <w:pStyle w:val="Normal"/>
        <w:jc w:val="center"/>
        <w:rPr/>
      </w:pPr>
      <w:r>
        <w:rPr/>
        <w:drawing>
          <wp:inline distT="0" distB="0" distL="0" distR="0">
            <wp:extent cx="2317750" cy="104584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2317750" cy="1045845"/>
                    </a:xfrm>
                    <a:prstGeom prst="rect">
                      <a:avLst/>
                    </a:prstGeom>
                    <a:noFill/>
                    <a:ln w="9525">
                      <a:noFill/>
                      <a:miter lim="800000"/>
                      <a:headEnd/>
                      <a:tailEnd/>
                    </a:ln>
                  </pic:spPr>
                </pic:pic>
              </a:graphicData>
            </a:graphic>
          </wp:inline>
        </w:drawing>
      </w:r>
    </w:p>
    <w:p>
      <w:pPr>
        <w:pStyle w:val="Memoheader"/>
        <w:rPr>
          <w:b/>
          <w:b/>
          <w:bCs/>
          <w:color w:val="000000" w:themeColor="text1"/>
        </w:rPr>
      </w:pPr>
      <w:r>
        <w:rPr>
          <w:b/>
          <w:bCs/>
          <w:color w:val="000000" w:themeColor="text1"/>
        </w:rPr>
      </w:r>
    </w:p>
    <w:p>
      <w:pPr>
        <w:pStyle w:val="Memoheader"/>
        <w:rPr>
          <w:b/>
          <w:b/>
          <w:bCs/>
          <w:color w:val="000000" w:themeColor="text1"/>
        </w:rPr>
      </w:pPr>
      <w:r>
        <w:rPr>
          <w:b/>
          <w:bCs/>
          <w:color w:val="000000" w:themeColor="text1"/>
        </w:rPr>
      </w:r>
    </w:p>
    <w:p>
      <w:pPr>
        <w:pStyle w:val="Memoheader"/>
        <w:rPr>
          <w:b/>
          <w:b/>
          <w:bCs/>
          <w:color w:val="000000" w:themeColor="text1"/>
        </w:rPr>
      </w:pPr>
      <w:r>
        <w:rPr>
          <w:b/>
          <w:bCs/>
          <w:color w:val="000000" w:themeColor="text1"/>
        </w:rPr>
      </w:r>
    </w:p>
    <w:p>
      <w:pPr>
        <w:pStyle w:val="Memoheader"/>
        <w:rPr>
          <w:bCs/>
          <w:color w:val="000000" w:themeColor="text1"/>
        </w:rPr>
      </w:pPr>
      <w:r>
        <w:rPr>
          <w:b/>
          <w:bCs/>
          <w:color w:val="000000" w:themeColor="text1"/>
        </w:rPr>
        <w:t xml:space="preserve">Project: </w:t>
      </w:r>
    </w:p>
    <w:p>
      <w:pPr>
        <w:pStyle w:val="Memoheader"/>
        <w:rPr>
          <w:b/>
          <w:b/>
          <w:bCs/>
          <w:color w:val="000000" w:themeColor="text1"/>
        </w:rPr>
      </w:pPr>
      <w:r>
        <w:rPr>
          <w:b/>
          <w:bCs/>
          <w:color w:val="000000" w:themeColor="text1"/>
        </w:rPr>
        <w:t>System: NPDA</w:t>
      </w:r>
    </w:p>
    <w:p>
      <w:pPr>
        <w:pStyle w:val="Memoheader"/>
        <w:rPr/>
      </w:pPr>
      <w:r>
        <w:rPr>
          <w:b/>
          <w:bCs/>
          <w:color w:val="000000" w:themeColor="text1"/>
        </w:rPr>
        <w:t>Date:</w:t>
        <w:tab/>
      </w:r>
      <w:r>
        <w:rPr>
          <w:bCs/>
          <w:color w:val="000000" w:themeColor="text1"/>
        </w:rPr>
        <w:t>2016/01/19</w:t>
      </w:r>
    </w:p>
    <w:p>
      <w:pPr>
        <w:sectPr>
          <w:footerReference w:type="default" r:id="rId3"/>
          <w:type w:val="oddPage"/>
          <w:pgSz w:w="12240" w:h="15840"/>
          <w:pgMar w:left="1440" w:right="1440" w:header="0" w:top="1440" w:footer="720" w:bottom="1003" w:gutter="0"/>
          <w:pgNumType w:fmt="decimal"/>
          <w:formProt w:val="false"/>
          <w:textDirection w:val="lrTb"/>
          <w:docGrid w:type="default" w:linePitch="240" w:charSpace="4294965247"/>
        </w:sectPr>
        <w:pStyle w:val="Memoheader"/>
        <w:pBdr>
          <w:bottom w:val="single" w:sz="4" w:space="6" w:color="00000A"/>
        </w:pBdr>
        <w:spacing w:before="240" w:after="240"/>
        <w:rPr>
          <w:b/>
          <w:b/>
          <w:bCs/>
          <w:color w:val="000000" w:themeColor="text1"/>
        </w:rPr>
      </w:pPr>
      <w:r>
        <w:rPr>
          <w:b/>
          <w:bCs/>
          <w:color w:val="000000" w:themeColor="text1"/>
        </w:rPr>
        <w:t>Functions/Features:</w:t>
        <w:tab/>
        <w:t xml:space="preserve">Accounting NPDA Financial Model </w:t>
      </w:r>
    </w:p>
    <w:p>
      <w:pPr>
        <w:pStyle w:val="Memoheader"/>
        <w:pBdr>
          <w:bottom w:val="single" w:sz="4" w:space="6" w:color="00000A"/>
        </w:pBdr>
        <w:spacing w:before="240" w:after="240"/>
        <w:rPr>
          <w:b/>
          <w:b/>
          <w:bCs/>
          <w:color w:val="000000" w:themeColor="text1"/>
        </w:rPr>
      </w:pPr>
      <w:bookmarkStart w:id="0" w:name="_Toc390607746"/>
      <w:bookmarkStart w:id="1" w:name="_Toc386168586"/>
      <w:bookmarkStart w:id="2" w:name="_Toc346692712"/>
      <w:bookmarkStart w:id="3" w:name="_Toc346094265"/>
      <w:bookmarkStart w:id="4" w:name="_Toc345838719"/>
      <w:bookmarkEnd w:id="0"/>
      <w:bookmarkEnd w:id="1"/>
      <w:bookmarkEnd w:id="2"/>
      <w:bookmarkEnd w:id="3"/>
      <w:bookmarkEnd w:id="4"/>
      <w:r>
        <w:rPr>
          <w:b/>
          <w:bCs/>
          <w:color w:val="000000" w:themeColor="text1"/>
        </w:rPr>
        <w:t>Document History</w:t>
      </w:r>
    </w:p>
    <w:p>
      <w:pPr>
        <w:pStyle w:val="PrefaceHeading"/>
        <w:rPr>
          <w:color w:val="000000" w:themeColor="text1"/>
        </w:rPr>
      </w:pPr>
      <w:r>
        <w:rPr>
          <w:color w:val="000000" w:themeColor="text1"/>
        </w:rPr>
        <w:t>Reviewed By</w:t>
      </w:r>
    </w:p>
    <w:tbl>
      <w:tblPr>
        <w:tblW w:w="9000" w:type="dxa"/>
        <w:jc w:val="left"/>
        <w:tblInd w:w="-10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5" w:type="dxa"/>
          <w:bottom w:w="0" w:type="dxa"/>
          <w:right w:w="60" w:type="dxa"/>
        </w:tblCellMar>
        <w:tblLook w:val="04a0" w:noVBand="1" w:noHBand="0" w:lastColumn="0" w:firstColumn="1" w:lastRow="0" w:firstRow="1"/>
      </w:tblPr>
      <w:tblGrid>
        <w:gridCol w:w="3504"/>
        <w:gridCol w:w="5495"/>
      </w:tblGrid>
      <w:tr>
        <w:trPr>
          <w:cantSplit w:val="true"/>
        </w:trPr>
        <w:tc>
          <w:tcPr>
            <w:tcW w:w="3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pct5"/>
            <w:tcMar>
              <w:left w:w="55" w:type="dxa"/>
            </w:tcMar>
          </w:tcPr>
          <w:p>
            <w:pPr>
              <w:pStyle w:val="TableHeading"/>
              <w:keepNext/>
              <w:spacing w:before="60" w:after="60"/>
              <w:jc w:val="center"/>
              <w:rPr>
                <w:color w:val="000000" w:themeColor="text1"/>
              </w:rPr>
            </w:pPr>
            <w:r>
              <w:rPr>
                <w:color w:val="000000" w:themeColor="text1"/>
              </w:rPr>
              <w:t>Organization</w:t>
            </w:r>
          </w:p>
        </w:tc>
        <w:tc>
          <w:tcPr>
            <w:tcW w:w="54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pct5"/>
            <w:tcMar>
              <w:left w:w="55" w:type="dxa"/>
            </w:tcMar>
          </w:tcPr>
          <w:p>
            <w:pPr>
              <w:pStyle w:val="TableHeading"/>
              <w:keepNext/>
              <w:spacing w:before="60" w:after="60"/>
              <w:jc w:val="center"/>
              <w:rPr>
                <w:color w:val="000000" w:themeColor="text1"/>
              </w:rPr>
            </w:pPr>
            <w:r>
              <w:rPr>
                <w:color w:val="000000" w:themeColor="text1"/>
              </w:rPr>
              <w:t>Person</w:t>
            </w:r>
          </w:p>
        </w:tc>
      </w:tr>
      <w:tr>
        <w:trPr>
          <w:cantSplit w:val="true"/>
        </w:trPr>
        <w:tc>
          <w:tcPr>
            <w:tcW w:w="3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TableText"/>
              <w:spacing w:before="60" w:after="60"/>
              <w:rPr>
                <w:color w:val="000000" w:themeColor="text1"/>
              </w:rPr>
            </w:pPr>
            <w:r>
              <w:rPr>
                <w:color w:val="000000" w:themeColor="text1"/>
              </w:rPr>
            </w:r>
          </w:p>
        </w:tc>
        <w:tc>
          <w:tcPr>
            <w:tcW w:w="54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TableText"/>
              <w:spacing w:before="60" w:after="60"/>
              <w:rPr>
                <w:color w:val="000000" w:themeColor="text1"/>
              </w:rPr>
            </w:pPr>
            <w:r>
              <w:rPr>
                <w:color w:val="000000" w:themeColor="text1"/>
              </w:rPr>
            </w:r>
          </w:p>
        </w:tc>
      </w:tr>
      <w:tr>
        <w:trPr>
          <w:cantSplit w:val="true"/>
        </w:trPr>
        <w:tc>
          <w:tcPr>
            <w:tcW w:w="3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TableText"/>
              <w:spacing w:before="60" w:after="60"/>
              <w:rPr>
                <w:color w:val="000000" w:themeColor="text1"/>
              </w:rPr>
            </w:pPr>
            <w:r>
              <w:rPr>
                <w:color w:val="000000" w:themeColor="text1"/>
              </w:rPr>
            </w:r>
          </w:p>
        </w:tc>
        <w:tc>
          <w:tcPr>
            <w:tcW w:w="54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TableText"/>
              <w:spacing w:before="60" w:after="60"/>
              <w:rPr>
                <w:color w:val="000000" w:themeColor="text1"/>
              </w:rPr>
            </w:pPr>
            <w:r>
              <w:rPr>
                <w:color w:val="000000" w:themeColor="text1"/>
              </w:rPr>
            </w:r>
          </w:p>
        </w:tc>
      </w:tr>
      <w:tr>
        <w:trPr>
          <w:cantSplit w:val="true"/>
        </w:trPr>
        <w:tc>
          <w:tcPr>
            <w:tcW w:w="3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TableText"/>
              <w:spacing w:before="60" w:after="60"/>
              <w:rPr>
                <w:color w:val="000000" w:themeColor="text1"/>
              </w:rPr>
            </w:pPr>
            <w:r>
              <w:rPr>
                <w:color w:val="000000" w:themeColor="text1"/>
              </w:rPr>
            </w:r>
          </w:p>
        </w:tc>
        <w:tc>
          <w:tcPr>
            <w:tcW w:w="54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TableText"/>
              <w:spacing w:before="60" w:after="60"/>
              <w:rPr>
                <w:color w:val="000000" w:themeColor="text1"/>
              </w:rPr>
            </w:pPr>
            <w:r>
              <w:rPr>
                <w:color w:val="000000" w:themeColor="text1"/>
              </w:rPr>
            </w:r>
          </w:p>
        </w:tc>
      </w:tr>
    </w:tbl>
    <w:p>
      <w:pPr>
        <w:pStyle w:val="PrefaceHeading"/>
        <w:rPr>
          <w:color w:val="000000" w:themeColor="text1"/>
        </w:rPr>
      </w:pPr>
      <w:r>
        <w:rPr>
          <w:color w:val="000000" w:themeColor="text1"/>
        </w:rPr>
        <w:t>Revision Record</w:t>
      </w:r>
    </w:p>
    <w:tbl>
      <w:tblPr>
        <w:tblW w:w="9000" w:type="dxa"/>
        <w:jc w:val="left"/>
        <w:tblInd w:w="-10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5" w:type="dxa"/>
          <w:bottom w:w="0" w:type="dxa"/>
          <w:right w:w="60" w:type="dxa"/>
        </w:tblCellMar>
        <w:tblLook w:val="04a0" w:noVBand="1" w:noHBand="0" w:lastColumn="0" w:firstColumn="1" w:lastRow="0" w:firstRow="1"/>
      </w:tblPr>
      <w:tblGrid>
        <w:gridCol w:w="1437"/>
        <w:gridCol w:w="2278"/>
        <w:gridCol w:w="5285"/>
      </w:tblGrid>
      <w:tr>
        <w:trPr>
          <w:cantSplit w:val="true"/>
        </w:trPr>
        <w:tc>
          <w:tcPr>
            <w:tcW w:w="14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pct5"/>
            <w:tcMar>
              <w:left w:w="55" w:type="dxa"/>
            </w:tcMar>
          </w:tcPr>
          <w:p>
            <w:pPr>
              <w:pStyle w:val="TableHeading"/>
              <w:keepNext/>
              <w:spacing w:before="60" w:after="60"/>
              <w:jc w:val="center"/>
              <w:rPr>
                <w:color w:val="000000" w:themeColor="text1"/>
              </w:rPr>
            </w:pPr>
            <w:r>
              <w:rPr>
                <w:color w:val="000000" w:themeColor="text1"/>
              </w:rPr>
              <w:t>Number</w:t>
            </w:r>
          </w:p>
        </w:tc>
        <w:tc>
          <w:tcPr>
            <w:tcW w:w="22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pct5"/>
            <w:tcMar>
              <w:left w:w="55" w:type="dxa"/>
            </w:tcMar>
          </w:tcPr>
          <w:p>
            <w:pPr>
              <w:pStyle w:val="TableHeading"/>
              <w:keepNext/>
              <w:spacing w:before="60" w:after="60"/>
              <w:jc w:val="center"/>
              <w:rPr>
                <w:color w:val="000000" w:themeColor="text1"/>
              </w:rPr>
            </w:pPr>
            <w:r>
              <w:rPr>
                <w:color w:val="000000" w:themeColor="text1"/>
              </w:rPr>
              <w:t>Date and Sections</w:t>
            </w:r>
          </w:p>
        </w:tc>
        <w:tc>
          <w:tcPr>
            <w:tcW w:w="52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pct5"/>
            <w:tcMar>
              <w:left w:w="55" w:type="dxa"/>
            </w:tcMar>
          </w:tcPr>
          <w:p>
            <w:pPr>
              <w:pStyle w:val="TableHeading"/>
              <w:keepNext/>
              <w:spacing w:before="60" w:after="60"/>
              <w:jc w:val="center"/>
              <w:rPr>
                <w:color w:val="000000" w:themeColor="text1"/>
              </w:rPr>
            </w:pPr>
            <w:r>
              <w:rPr>
                <w:color w:val="000000" w:themeColor="text1"/>
              </w:rPr>
              <w:t>Notes</w:t>
            </w:r>
          </w:p>
        </w:tc>
      </w:tr>
      <w:tr>
        <w:trPr>
          <w:cantSplit w:val="true"/>
        </w:trPr>
        <w:tc>
          <w:tcPr>
            <w:tcW w:w="14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TableHeading"/>
              <w:spacing w:before="60" w:after="60"/>
              <w:rPr>
                <w:color w:val="000000" w:themeColor="text1"/>
              </w:rPr>
            </w:pPr>
            <w:r>
              <w:rPr>
                <w:color w:val="000000" w:themeColor="text1"/>
              </w:rPr>
            </w:r>
          </w:p>
        </w:tc>
        <w:tc>
          <w:tcPr>
            <w:tcW w:w="22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TableHeading"/>
              <w:spacing w:before="60" w:after="60"/>
              <w:rPr>
                <w:color w:val="000000" w:themeColor="text1"/>
              </w:rPr>
            </w:pPr>
            <w:r>
              <w:rPr>
                <w:color w:val="000000" w:themeColor="text1"/>
              </w:rPr>
            </w:r>
          </w:p>
        </w:tc>
        <w:tc>
          <w:tcPr>
            <w:tcW w:w="52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TableHeading"/>
              <w:spacing w:before="60" w:after="60"/>
              <w:rPr>
                <w:color w:val="000000" w:themeColor="text1"/>
              </w:rPr>
            </w:pPr>
            <w:r>
              <w:rPr>
                <w:color w:val="000000" w:themeColor="text1"/>
              </w:rPr>
            </w:r>
          </w:p>
        </w:tc>
      </w:tr>
      <w:tr>
        <w:trPr>
          <w:cantSplit w:val="true"/>
        </w:trPr>
        <w:tc>
          <w:tcPr>
            <w:tcW w:w="14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TableHeading"/>
              <w:spacing w:before="60" w:after="60"/>
              <w:rPr>
                <w:color w:val="000000" w:themeColor="text1"/>
              </w:rPr>
            </w:pPr>
            <w:r>
              <w:rPr>
                <w:color w:val="000000" w:themeColor="text1"/>
              </w:rPr>
            </w:r>
          </w:p>
        </w:tc>
        <w:tc>
          <w:tcPr>
            <w:tcW w:w="22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TableHeading"/>
              <w:spacing w:before="60" w:after="60"/>
              <w:rPr>
                <w:color w:val="000000" w:themeColor="text1"/>
              </w:rPr>
            </w:pPr>
            <w:r>
              <w:rPr>
                <w:color w:val="000000" w:themeColor="text1"/>
              </w:rPr>
            </w:r>
          </w:p>
        </w:tc>
        <w:tc>
          <w:tcPr>
            <w:tcW w:w="52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TableHeading"/>
              <w:spacing w:before="60" w:after="60"/>
              <w:rPr>
                <w:color w:val="000000" w:themeColor="text1"/>
              </w:rPr>
            </w:pPr>
            <w:r>
              <w:rPr>
                <w:color w:val="000000" w:themeColor="text1"/>
              </w:rPr>
            </w:r>
          </w:p>
        </w:tc>
      </w:tr>
      <w:tr>
        <w:trPr>
          <w:cantSplit w:val="true"/>
        </w:trPr>
        <w:tc>
          <w:tcPr>
            <w:tcW w:w="14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TableHeading"/>
              <w:spacing w:before="60" w:after="60"/>
              <w:rPr>
                <w:color w:val="000000" w:themeColor="text1"/>
              </w:rPr>
            </w:pPr>
            <w:r>
              <w:rPr>
                <w:color w:val="000000" w:themeColor="text1"/>
              </w:rPr>
            </w:r>
          </w:p>
        </w:tc>
        <w:tc>
          <w:tcPr>
            <w:tcW w:w="22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TableHeading"/>
              <w:spacing w:before="60" w:after="60"/>
              <w:rPr>
                <w:color w:val="000000" w:themeColor="text1"/>
              </w:rPr>
            </w:pPr>
            <w:r>
              <w:rPr>
                <w:color w:val="000000" w:themeColor="text1"/>
              </w:rPr>
            </w:r>
          </w:p>
        </w:tc>
        <w:tc>
          <w:tcPr>
            <w:tcW w:w="52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TableHeading"/>
              <w:spacing w:before="60" w:after="60"/>
              <w:rPr>
                <w:color w:val="000000" w:themeColor="text1"/>
              </w:rPr>
            </w:pPr>
            <w:r>
              <w:rPr>
                <w:color w:val="000000" w:themeColor="text1"/>
              </w:rPr>
            </w:r>
          </w:p>
        </w:tc>
      </w:tr>
    </w:tbl>
    <w:p>
      <w:pPr>
        <w:pStyle w:val="PrefaceHeading"/>
        <w:rPr>
          <w:color w:val="000000" w:themeColor="text1"/>
        </w:rPr>
      </w:pPr>
      <w:r>
        <w:rPr>
          <w:color w:val="000000" w:themeColor="text1"/>
        </w:rPr>
        <w:t>Acronyms</w:t>
      </w:r>
    </w:p>
    <w:tbl>
      <w:tblPr>
        <w:tblW w:w="9021" w:type="dxa"/>
        <w:jc w:val="left"/>
        <w:tblInd w:w="-12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0a0" w:noVBand="0" w:noHBand="0" w:lastColumn="0" w:firstColumn="1" w:lastRow="0" w:firstRow="1"/>
      </w:tblPr>
      <w:tblGrid>
        <w:gridCol w:w="2448"/>
        <w:gridCol w:w="6572"/>
      </w:tblGrid>
      <w:tr>
        <w:trPr/>
        <w:tc>
          <w:tcPr>
            <w:tcW w:w="24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pct5"/>
            <w:tcMar>
              <w:left w:w="103" w:type="dxa"/>
            </w:tcMar>
          </w:tcPr>
          <w:p>
            <w:pPr>
              <w:pStyle w:val="TableHeading"/>
              <w:keepNext/>
              <w:spacing w:before="60" w:after="60"/>
              <w:jc w:val="center"/>
              <w:rPr>
                <w:color w:val="000000" w:themeColor="text1"/>
              </w:rPr>
            </w:pPr>
            <w:r>
              <w:rPr>
                <w:color w:val="000000" w:themeColor="text1"/>
              </w:rPr>
              <w:t>Acronym</w:t>
            </w:r>
          </w:p>
        </w:tc>
        <w:tc>
          <w:tcPr>
            <w:tcW w:w="65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pct5"/>
            <w:tcMar>
              <w:left w:w="103" w:type="dxa"/>
            </w:tcMar>
          </w:tcPr>
          <w:p>
            <w:pPr>
              <w:pStyle w:val="TableHeading"/>
              <w:keepNext/>
              <w:spacing w:before="60" w:after="60"/>
              <w:jc w:val="center"/>
              <w:rPr>
                <w:color w:val="000000" w:themeColor="text1"/>
              </w:rPr>
            </w:pPr>
            <w:r>
              <w:rPr>
                <w:color w:val="000000" w:themeColor="text1"/>
              </w:rPr>
              <w:t>Description</w:t>
            </w:r>
          </w:p>
        </w:tc>
      </w:tr>
      <w:tr>
        <w:trPr/>
        <w:tc>
          <w:tcPr>
            <w:tcW w:w="24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TableText"/>
              <w:spacing w:before="60" w:after="60"/>
              <w:rPr>
                <w:color w:val="000000" w:themeColor="text1"/>
              </w:rPr>
            </w:pPr>
            <w:r>
              <w:rPr>
                <w:color w:val="000000" w:themeColor="text1"/>
              </w:rPr>
            </w:r>
          </w:p>
        </w:tc>
        <w:tc>
          <w:tcPr>
            <w:tcW w:w="65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TableText"/>
              <w:spacing w:before="60" w:after="60"/>
              <w:rPr>
                <w:color w:val="000000" w:themeColor="text1"/>
              </w:rPr>
            </w:pPr>
            <w:r>
              <w:rPr>
                <w:color w:val="000000" w:themeColor="text1"/>
              </w:rPr>
            </w:r>
          </w:p>
        </w:tc>
      </w:tr>
      <w:tr>
        <w:trPr/>
        <w:tc>
          <w:tcPr>
            <w:tcW w:w="24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TableText"/>
              <w:spacing w:before="60" w:after="60"/>
              <w:rPr>
                <w:color w:val="000000" w:themeColor="text1"/>
              </w:rPr>
            </w:pPr>
            <w:r>
              <w:rPr>
                <w:color w:val="000000" w:themeColor="text1"/>
              </w:rPr>
            </w:r>
          </w:p>
        </w:tc>
        <w:tc>
          <w:tcPr>
            <w:tcW w:w="65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TableText"/>
              <w:spacing w:before="60" w:after="60"/>
              <w:rPr>
                <w:color w:val="000000" w:themeColor="text1"/>
              </w:rPr>
            </w:pPr>
            <w:r>
              <w:rPr>
                <w:color w:val="000000" w:themeColor="text1"/>
              </w:rPr>
            </w:r>
          </w:p>
        </w:tc>
      </w:tr>
      <w:tr>
        <w:trPr/>
        <w:tc>
          <w:tcPr>
            <w:tcW w:w="24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TableText"/>
              <w:spacing w:before="60" w:after="60"/>
              <w:rPr>
                <w:color w:val="000000" w:themeColor="text1"/>
              </w:rPr>
            </w:pPr>
            <w:r>
              <w:rPr>
                <w:color w:val="000000" w:themeColor="text1"/>
              </w:rPr>
            </w:r>
          </w:p>
        </w:tc>
        <w:tc>
          <w:tcPr>
            <w:tcW w:w="65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TableText"/>
              <w:spacing w:before="60" w:after="60"/>
              <w:rPr>
                <w:color w:val="000000" w:themeColor="text1"/>
              </w:rPr>
            </w:pPr>
            <w:r>
              <w:rPr>
                <w:color w:val="000000" w:themeColor="text1"/>
              </w:rPr>
            </w:r>
          </w:p>
        </w:tc>
      </w:tr>
      <w:tr>
        <w:trPr/>
        <w:tc>
          <w:tcPr>
            <w:tcW w:w="24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TableText"/>
              <w:spacing w:before="60" w:after="60"/>
              <w:rPr>
                <w:color w:val="000000" w:themeColor="text1"/>
              </w:rPr>
            </w:pPr>
            <w:r>
              <w:rPr>
                <w:color w:val="000000" w:themeColor="text1"/>
              </w:rPr>
            </w:r>
          </w:p>
        </w:tc>
        <w:tc>
          <w:tcPr>
            <w:tcW w:w="65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TableText"/>
              <w:spacing w:before="60" w:after="60"/>
              <w:rPr>
                <w:color w:val="000000" w:themeColor="text1"/>
              </w:rPr>
            </w:pPr>
            <w:r>
              <w:rPr>
                <w:color w:val="000000" w:themeColor="text1"/>
              </w:rPr>
            </w:r>
          </w:p>
        </w:tc>
      </w:tr>
      <w:tr>
        <w:trPr/>
        <w:tc>
          <w:tcPr>
            <w:tcW w:w="24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TableText"/>
              <w:spacing w:before="60" w:after="60"/>
              <w:rPr>
                <w:color w:val="000000" w:themeColor="text1"/>
              </w:rPr>
            </w:pPr>
            <w:r>
              <w:rPr>
                <w:color w:val="000000" w:themeColor="text1"/>
              </w:rPr>
            </w:r>
          </w:p>
        </w:tc>
        <w:tc>
          <w:tcPr>
            <w:tcW w:w="65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TableText"/>
              <w:spacing w:before="60" w:after="60"/>
              <w:rPr>
                <w:color w:val="000000" w:themeColor="text1"/>
              </w:rPr>
            </w:pPr>
            <w:r>
              <w:rPr>
                <w:color w:val="000000" w:themeColor="text1"/>
              </w:rPr>
            </w:r>
          </w:p>
        </w:tc>
      </w:tr>
    </w:tbl>
    <w:p>
      <w:pPr>
        <w:pStyle w:val="PrefaceHeading"/>
        <w:rPr>
          <w:color w:val="000000" w:themeColor="text1"/>
        </w:rPr>
      </w:pPr>
      <w:r>
        <w:rPr>
          <w:color w:val="000000" w:themeColor="text1"/>
        </w:rPr>
        <w:t>References</w:t>
      </w:r>
    </w:p>
    <w:tbl>
      <w:tblPr>
        <w:tblW w:w="9021" w:type="dxa"/>
        <w:jc w:val="left"/>
        <w:tblInd w:w="-12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0a0" w:noVBand="0" w:noHBand="0" w:lastColumn="0" w:firstColumn="1" w:lastRow="0" w:firstRow="1"/>
      </w:tblPr>
      <w:tblGrid>
        <w:gridCol w:w="4432"/>
        <w:gridCol w:w="4588"/>
      </w:tblGrid>
      <w:tr>
        <w:trPr/>
        <w:tc>
          <w:tcPr>
            <w:tcW w:w="44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pct5"/>
            <w:tcMar>
              <w:left w:w="103" w:type="dxa"/>
            </w:tcMar>
          </w:tcPr>
          <w:p>
            <w:pPr>
              <w:pStyle w:val="TableHeading"/>
              <w:keepNext/>
              <w:spacing w:before="60" w:after="60"/>
              <w:jc w:val="center"/>
              <w:rPr>
                <w:color w:val="000000" w:themeColor="text1"/>
              </w:rPr>
            </w:pPr>
            <w:r>
              <w:rPr>
                <w:color w:val="000000" w:themeColor="text1"/>
              </w:rPr>
              <w:t>Document Title</w:t>
            </w:r>
          </w:p>
        </w:tc>
        <w:tc>
          <w:tcPr>
            <w:tcW w:w="45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pct5"/>
            <w:tcMar>
              <w:left w:w="103" w:type="dxa"/>
            </w:tcMar>
          </w:tcPr>
          <w:p>
            <w:pPr>
              <w:pStyle w:val="TableHeading"/>
              <w:keepNext/>
              <w:spacing w:before="60" w:after="60"/>
              <w:jc w:val="center"/>
              <w:rPr>
                <w:color w:val="000000" w:themeColor="text1"/>
              </w:rPr>
            </w:pPr>
            <w:r>
              <w:rPr>
                <w:color w:val="000000" w:themeColor="text1"/>
              </w:rPr>
              <w:t>File Name</w:t>
            </w:r>
          </w:p>
        </w:tc>
      </w:tr>
      <w:tr>
        <w:trPr/>
        <w:tc>
          <w:tcPr>
            <w:tcW w:w="44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TableHeading"/>
              <w:spacing w:before="60" w:after="60"/>
              <w:rPr>
                <w:color w:val="000000" w:themeColor="text1"/>
              </w:rPr>
            </w:pPr>
            <w:r>
              <w:rPr>
                <w:color w:val="000000" w:themeColor="text1"/>
              </w:rPr>
            </w:r>
          </w:p>
        </w:tc>
        <w:tc>
          <w:tcPr>
            <w:tcW w:w="45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TableHeading"/>
              <w:spacing w:before="60" w:after="60"/>
              <w:rPr>
                <w:color w:val="000000" w:themeColor="text1"/>
              </w:rPr>
            </w:pPr>
            <w:r>
              <w:rPr>
                <w:color w:val="000000" w:themeColor="text1"/>
              </w:rPr>
            </w:r>
          </w:p>
        </w:tc>
      </w:tr>
      <w:tr>
        <w:trPr/>
        <w:tc>
          <w:tcPr>
            <w:tcW w:w="44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TableHeading"/>
              <w:spacing w:before="60" w:after="60"/>
              <w:rPr>
                <w:color w:val="000000" w:themeColor="text1"/>
              </w:rPr>
            </w:pPr>
            <w:r>
              <w:rPr>
                <w:color w:val="000000" w:themeColor="text1"/>
              </w:rPr>
            </w:r>
          </w:p>
        </w:tc>
        <w:tc>
          <w:tcPr>
            <w:tcW w:w="45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TableHeading"/>
              <w:spacing w:before="60" w:after="60"/>
              <w:rPr>
                <w:color w:val="000000" w:themeColor="text1"/>
              </w:rPr>
            </w:pPr>
            <w:r>
              <w:rPr>
                <w:color w:val="000000" w:themeColor="text1"/>
              </w:rPr>
            </w:r>
          </w:p>
        </w:tc>
      </w:tr>
      <w:tr>
        <w:trPr/>
        <w:tc>
          <w:tcPr>
            <w:tcW w:w="44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TableHeading"/>
              <w:spacing w:before="60" w:after="60"/>
              <w:rPr>
                <w:color w:val="000000" w:themeColor="text1"/>
              </w:rPr>
            </w:pPr>
            <w:r>
              <w:rPr>
                <w:color w:val="000000" w:themeColor="text1"/>
              </w:rPr>
            </w:r>
          </w:p>
        </w:tc>
        <w:tc>
          <w:tcPr>
            <w:tcW w:w="45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TableHeading"/>
              <w:spacing w:before="60" w:after="60"/>
              <w:rPr>
                <w:color w:val="000000" w:themeColor="text1"/>
              </w:rPr>
            </w:pPr>
            <w:r>
              <w:rPr>
                <w:color w:val="000000" w:themeColor="text1"/>
              </w:rPr>
            </w:r>
          </w:p>
        </w:tc>
      </w:tr>
    </w:tbl>
    <w:p>
      <w:pPr>
        <w:pStyle w:val="PageTitle"/>
        <w:rPr/>
      </w:pPr>
      <w:r>
        <w:rPr>
          <w:color w:val="000000" w:themeColor="text1"/>
        </w:rPr>
        <w:t>Table of Contents</w:t>
      </w:r>
    </w:p>
    <w:p>
      <w:pPr>
        <w:pStyle w:val="Contents1"/>
        <w:rPr>
          <w:rFonts w:ascii="Calibri" w:hAnsi="Calibri" w:eastAsia="ＭＳ 明朝" w:cs="" w:asciiTheme="minorHAnsi" w:cstheme="minorBidi" w:eastAsiaTheme="minorEastAsia" w:hAnsiTheme="minorHAnsi"/>
          <w:lang w:val="en-US"/>
        </w:rPr>
      </w:pPr>
      <w:r>
        <w:fldChar w:fldCharType="begin"/>
      </w:r>
      <w:r>
        <w:instrText> TOC \o "1-9" \h</w:instrText>
      </w:r>
      <w:r>
        <w:fldChar w:fldCharType="separate"/>
      </w:r>
      <w:r>
        <w:rPr>
          <w:color w:val="000000" w:themeColor="text1"/>
        </w:rPr>
        <w:t>1.</w:t>
      </w:r>
      <w:r>
        <w:rPr>
          <w:rFonts w:eastAsia="ＭＳ 明朝" w:cs="" w:ascii="Calibri" w:hAnsi="Calibri" w:asciiTheme="minorHAnsi" w:cstheme="minorBidi" w:eastAsiaTheme="minorEastAsia" w:hAnsiTheme="minorHAnsi"/>
          <w:lang w:val="en-US"/>
        </w:rPr>
        <w:tab/>
      </w:r>
      <w:r>
        <w:rPr>
          <w:color w:val="000000" w:themeColor="text1"/>
        </w:rPr>
        <w:t>Introduction</w:t>
      </w:r>
      <w:r>
        <w:rPr/>
        <w:tab/>
        <w:t>4</w:t>
      </w:r>
    </w:p>
    <w:p>
      <w:pPr>
        <w:pStyle w:val="Contents1"/>
        <w:rPr>
          <w:rFonts w:ascii="Calibri" w:hAnsi="Calibri" w:eastAsia="ＭＳ 明朝" w:cs="" w:asciiTheme="minorHAnsi" w:cstheme="minorBidi" w:eastAsiaTheme="minorEastAsia" w:hAnsiTheme="minorHAnsi"/>
          <w:lang w:val="en-US"/>
        </w:rPr>
      </w:pPr>
      <w:r>
        <w:rPr/>
        <w:t>2.</w:t>
      </w:r>
      <w:r>
        <w:rPr>
          <w:rFonts w:eastAsia="ＭＳ 明朝" w:cs="" w:ascii="Calibri" w:hAnsi="Calibri" w:asciiTheme="minorHAnsi" w:cstheme="minorBidi" w:eastAsiaTheme="minorEastAsia" w:hAnsiTheme="minorHAnsi"/>
          <w:lang w:val="en-US"/>
        </w:rPr>
        <w:tab/>
      </w:r>
      <w:r>
        <w:rPr/>
        <w:t>Process successful payments / distribution General Ledger Accounts</w:t>
        <w:tab/>
        <w:t>4</w:t>
      </w:r>
    </w:p>
    <w:p>
      <w:pPr>
        <w:pStyle w:val="Contents1"/>
        <w:tabs>
          <w:tab w:val="left" w:pos="850" w:leader="none"/>
          <w:tab w:val="right" w:pos="9639" w:leader="dot"/>
        </w:tabs>
        <w:rPr>
          <w:rFonts w:ascii="Calibri" w:hAnsi="Calibri" w:eastAsia="ＭＳ 明朝" w:cs="" w:asciiTheme="minorHAnsi" w:cstheme="minorBidi" w:eastAsiaTheme="minorEastAsia" w:hAnsiTheme="minorHAnsi"/>
          <w:lang w:val="en-US"/>
        </w:rPr>
      </w:pPr>
      <w:r>
        <w:rPr/>
        <w:t>2.I.1</w:t>
      </w:r>
      <w:r>
        <w:rPr>
          <w:rFonts w:eastAsia="ＭＳ 明朝" w:cs="" w:ascii="Calibri" w:hAnsi="Calibri" w:asciiTheme="minorHAnsi" w:cstheme="minorBidi" w:eastAsiaTheme="minorEastAsia" w:hAnsiTheme="minorHAnsi"/>
          <w:lang w:val="en-US"/>
        </w:rPr>
        <w:tab/>
      </w:r>
      <w:r>
        <w:rPr/>
        <w:t>Assumptions</w:t>
        <w:tab/>
        <w:t>4</w:t>
      </w:r>
    </w:p>
    <w:p>
      <w:pPr>
        <w:pStyle w:val="Contents2"/>
        <w:rPr>
          <w:rFonts w:ascii="Calibri" w:hAnsi="Calibri" w:eastAsia="ＭＳ 明朝" w:cs="" w:asciiTheme="minorHAnsi" w:cstheme="minorBidi" w:eastAsiaTheme="minorEastAsia" w:hAnsiTheme="minorHAnsi"/>
          <w:lang w:val="en-US"/>
        </w:rPr>
      </w:pPr>
      <w:r>
        <w:rPr>
          <w:lang w:val="en-US"/>
        </w:rPr>
        <w:t>General Ledger Accounts with purpose / usage</w:t>
      </w:r>
      <w:r>
        <w:rPr/>
        <w:tab/>
        <w:t>5</w:t>
      </w:r>
    </w:p>
    <w:p>
      <w:pPr>
        <w:pStyle w:val="Contents2"/>
        <w:rPr>
          <w:rFonts w:ascii="Calibri" w:hAnsi="Calibri" w:eastAsia="ＭＳ 明朝" w:cs="" w:asciiTheme="minorHAnsi" w:cstheme="minorBidi" w:eastAsiaTheme="minorEastAsia" w:hAnsiTheme="minorHAnsi"/>
          <w:lang w:val="en-US"/>
        </w:rPr>
      </w:pPr>
      <w:r>
        <w:rPr>
          <w:lang w:val="en-US"/>
        </w:rPr>
        <w:t>Successful Distributions</w:t>
      </w:r>
      <w:r>
        <w:rPr/>
        <w:tab/>
        <w:t>8</w:t>
      </w:r>
    </w:p>
    <w:p>
      <w:pPr>
        <w:pStyle w:val="Contents2"/>
        <w:rPr>
          <w:rFonts w:ascii="Calibri" w:hAnsi="Calibri" w:eastAsia="ＭＳ 明朝" w:cs="" w:asciiTheme="minorHAnsi" w:cstheme="minorBidi" w:eastAsiaTheme="minorEastAsia" w:hAnsiTheme="minorHAnsi"/>
          <w:lang w:val="en-US"/>
        </w:rPr>
      </w:pPr>
      <w:r>
        <w:rPr>
          <w:lang w:val="en-US"/>
        </w:rPr>
        <w:t>Refunds</w:t>
      </w:r>
      <w:r>
        <w:rPr/>
        <w:tab/>
        <w:t>10</w:t>
      </w:r>
    </w:p>
    <w:p>
      <w:pPr>
        <w:pStyle w:val="Contents2"/>
        <w:rPr>
          <w:rFonts w:ascii="Calibri" w:hAnsi="Calibri" w:eastAsia="ＭＳ 明朝" w:cs="" w:asciiTheme="minorHAnsi" w:cstheme="minorBidi" w:eastAsiaTheme="minorEastAsia" w:hAnsiTheme="minorHAnsi"/>
          <w:lang w:val="en-US"/>
        </w:rPr>
      </w:pPr>
      <w:r>
        <w:rPr>
          <w:lang w:val="en-US"/>
        </w:rPr>
        <w:t>Returns</w:t>
      </w:r>
      <w:r>
        <w:rPr/>
        <w:tab/>
        <w:t>12</w:t>
      </w:r>
    </w:p>
    <w:p>
      <w:pPr>
        <w:pStyle w:val="Contents2"/>
        <w:rPr>
          <w:rFonts w:ascii="Calibri" w:hAnsi="Calibri" w:eastAsia="ＭＳ 明朝" w:cs="" w:asciiTheme="minorHAnsi" w:cstheme="minorBidi" w:eastAsiaTheme="minorEastAsia" w:hAnsiTheme="minorHAnsi"/>
          <w:lang w:val="en-US"/>
        </w:rPr>
      </w:pPr>
      <w:r>
        <w:rPr>
          <w:lang w:val="en-US"/>
        </w:rPr>
        <w:t>Failed Distributions</w:t>
      </w:r>
      <w:r>
        <w:rPr/>
        <w:tab/>
        <w:t>14</w:t>
      </w:r>
    </w:p>
    <w:p>
      <w:pPr>
        <w:pStyle w:val="Contents2"/>
        <w:rPr>
          <w:rFonts w:ascii="Calibri" w:hAnsi="Calibri" w:eastAsia="ＭＳ 明朝" w:cs="" w:asciiTheme="minorHAnsi" w:cstheme="minorBidi" w:eastAsiaTheme="minorEastAsia" w:hAnsiTheme="minorHAnsi"/>
          <w:lang w:val="en-US"/>
        </w:rPr>
      </w:pPr>
      <w:r>
        <w:rPr>
          <w:lang w:val="en-US"/>
        </w:rPr>
        <w:t>Account reversals</w:t>
      </w:r>
      <w:r>
        <w:rPr/>
        <w:tab/>
        <w:t>16</w:t>
      </w:r>
    </w:p>
    <w:p>
      <w:pPr>
        <w:pStyle w:val="Contents2"/>
        <w:rPr>
          <w:rFonts w:ascii="Calibri" w:hAnsi="Calibri" w:eastAsia="ＭＳ 明朝" w:cs="" w:asciiTheme="minorHAnsi" w:cstheme="minorBidi" w:eastAsiaTheme="minorEastAsia" w:hAnsiTheme="minorHAnsi"/>
          <w:lang w:val="en-US"/>
        </w:rPr>
      </w:pPr>
      <w:r>
        <w:rPr>
          <w:lang w:val="en-US"/>
        </w:rPr>
        <w:t>Unidentified</w:t>
      </w:r>
      <w:r>
        <w:rPr/>
        <w:tab/>
        <w:t>18</w:t>
      </w:r>
    </w:p>
    <w:p>
      <w:pPr>
        <w:pStyle w:val="Contents2"/>
        <w:rPr>
          <w:rFonts w:ascii="Calibri" w:hAnsi="Calibri" w:eastAsia="ＭＳ 明朝" w:cs="" w:asciiTheme="minorHAnsi" w:cstheme="minorBidi" w:eastAsiaTheme="minorEastAsia" w:hAnsiTheme="minorHAnsi"/>
          <w:lang w:val="en-US"/>
        </w:rPr>
      </w:pPr>
      <w:r>
        <w:rPr>
          <w:lang w:val="en-US"/>
        </w:rPr>
        <w:t>Suspended Funds</w:t>
      </w:r>
      <w:r>
        <w:rPr/>
        <w:tab/>
        <w:t>20</w:t>
      </w:r>
    </w:p>
    <w:p>
      <w:pPr>
        <w:pStyle w:val="Contents2"/>
        <w:rPr>
          <w:rFonts w:ascii="Calibri" w:hAnsi="Calibri" w:eastAsia="ＭＳ 明朝" w:cs="" w:asciiTheme="minorHAnsi" w:cstheme="minorBidi" w:eastAsiaTheme="minorEastAsia" w:hAnsiTheme="minorHAnsi"/>
          <w:lang w:val="en-US"/>
        </w:rPr>
      </w:pPr>
      <w:r>
        <w:rPr>
          <w:lang w:val="en-US"/>
        </w:rPr>
        <w:t>Funds Awaiting Distribution</w:t>
      </w:r>
      <w:r>
        <w:rPr/>
        <w:tab/>
        <w:t>22</w:t>
      </w:r>
    </w:p>
    <w:p>
      <w:pPr>
        <w:pStyle w:val="Contents2"/>
        <w:rPr>
          <w:rFonts w:ascii="Calibri" w:hAnsi="Calibri" w:eastAsia="ＭＳ 明朝" w:cs="" w:asciiTheme="minorHAnsi" w:cstheme="minorBidi" w:eastAsiaTheme="minorEastAsia" w:hAnsiTheme="minorHAnsi"/>
          <w:lang w:val="en-US"/>
        </w:rPr>
      </w:pPr>
      <w:r>
        <w:rPr>
          <w:lang w:val="en-US"/>
        </w:rPr>
        <w:t>Funds De-Allocation</w:t>
      </w:r>
      <w:r>
        <w:rPr/>
        <w:tab/>
        <w:t>23</w:t>
      </w:r>
    </w:p>
    <w:p>
      <w:pPr>
        <w:pStyle w:val="Contents2"/>
        <w:rPr>
          <w:rFonts w:ascii="Calibri" w:hAnsi="Calibri" w:eastAsia="ＭＳ 明朝" w:cs="" w:asciiTheme="minorHAnsi" w:cstheme="minorBidi" w:eastAsiaTheme="minorEastAsia" w:hAnsiTheme="minorHAnsi"/>
          <w:lang w:val="en-US"/>
        </w:rPr>
      </w:pPr>
      <w:r>
        <w:rPr>
          <w:lang w:val="en-US"/>
        </w:rPr>
        <w:t>Double payments</w:t>
      </w:r>
      <w:r>
        <w:rPr/>
        <w:tab/>
        <w:t>25</w:t>
      </w:r>
    </w:p>
    <w:p>
      <w:pPr>
        <w:pStyle w:val="Contents2"/>
        <w:rPr>
          <w:rFonts w:ascii="Calibri" w:hAnsi="Calibri" w:eastAsia="ＭＳ 明朝" w:cs="" w:asciiTheme="minorHAnsi" w:cstheme="minorBidi" w:eastAsiaTheme="minorEastAsia" w:hAnsiTheme="minorHAnsi"/>
          <w:lang w:val="en-US"/>
        </w:rPr>
      </w:pPr>
      <w:r>
        <w:rPr>
          <w:lang w:val="en-US"/>
        </w:rPr>
        <w:t>Bank Return</w:t>
      </w:r>
      <w:r>
        <w:rPr/>
        <w:tab/>
        <w:t>27</w:t>
      </w:r>
    </w:p>
    <w:p>
      <w:pPr>
        <w:pStyle w:val="Normal"/>
        <w:rPr>
          <w:color w:val="000000" w:themeColor="text1"/>
        </w:rPr>
      </w:pPr>
      <w:r>
        <w:rPr>
          <w:color w:val="000000" w:themeColor="text1"/>
        </w:rPr>
      </w:r>
      <w:r>
        <w:fldChar w:fldCharType="end"/>
      </w:r>
    </w:p>
    <w:p>
      <w:pPr>
        <w:pStyle w:val="Heading1"/>
        <w:keepNext/>
        <w:keepLines w:val="false"/>
        <w:numPr>
          <w:ilvl w:val="0"/>
          <w:numId w:val="1"/>
        </w:numPr>
        <w:tabs>
          <w:tab w:val="left" w:pos="567" w:leader="none"/>
          <w:tab w:val="left" w:pos="643" w:leader="none"/>
        </w:tabs>
        <w:overflowPunct w:val="false"/>
        <w:spacing w:before="240" w:after="0"/>
        <w:jc w:val="left"/>
        <w:rPr>
          <w:color w:val="000000" w:themeColor="text1"/>
        </w:rPr>
      </w:pPr>
      <w:bookmarkStart w:id="5" w:name="_Toc440981658"/>
      <w:bookmarkStart w:id="6" w:name="_Toc39060774630"/>
      <w:bookmarkStart w:id="7" w:name="_Toc38616858630"/>
      <w:bookmarkStart w:id="8" w:name="_Toc34669271230"/>
      <w:bookmarkStart w:id="9" w:name="_Toc34609426530"/>
      <w:bookmarkStart w:id="10" w:name="_Toc34583871930"/>
      <w:bookmarkEnd w:id="6"/>
      <w:bookmarkEnd w:id="7"/>
      <w:bookmarkEnd w:id="8"/>
      <w:bookmarkEnd w:id="9"/>
      <w:bookmarkEnd w:id="10"/>
      <w:r>
        <w:rPr>
          <w:color w:val="000000" w:themeColor="text1"/>
        </w:rPr>
        <w:t>Introduction</w:t>
      </w:r>
      <w:bookmarkEnd w:id="5"/>
      <w:r>
        <w:rPr>
          <w:color w:val="000000" w:themeColor="text1"/>
        </w:rPr>
        <w:t xml:space="preserve"> </w:t>
      </w:r>
    </w:p>
    <w:p>
      <w:pPr>
        <w:pStyle w:val="Normal"/>
        <w:rPr/>
      </w:pPr>
      <w:bookmarkStart w:id="11" w:name="_Toc435585267"/>
      <w:bookmarkEnd w:id="11"/>
      <w:r>
        <w:rPr/>
        <w:t xml:space="preserve">The purpose of this document is to show the accounting model used at by the NPDA. </w:t>
      </w:r>
    </w:p>
    <w:p>
      <w:pPr>
        <w:pStyle w:val="Normal"/>
        <w:spacing w:lineRule="auto" w:line="240" w:before="0" w:after="0"/>
        <w:jc w:val="left"/>
        <w:rPr/>
      </w:pPr>
      <w:r>
        <w:rPr/>
      </w:r>
    </w:p>
    <w:p>
      <w:pPr>
        <w:pStyle w:val="Heading1"/>
        <w:keepNext/>
        <w:keepLines w:val="false"/>
        <w:numPr>
          <w:ilvl w:val="0"/>
          <w:numId w:val="1"/>
        </w:numPr>
        <w:overflowPunct w:val="false"/>
        <w:spacing w:before="240" w:after="0"/>
        <w:jc w:val="left"/>
        <w:rPr/>
      </w:pPr>
      <w:bookmarkStart w:id="12" w:name="_Toc440981659"/>
      <w:bookmarkEnd w:id="12"/>
      <w:r>
        <w:rPr/>
        <w:t>Process successful payments / distribution General Ledger Accounts</w:t>
      </w:r>
    </w:p>
    <w:p>
      <w:pPr>
        <w:pStyle w:val="Normal"/>
        <w:rPr/>
      </w:pPr>
      <w:r>
        <w:rPr/>
      </w:r>
    </w:p>
    <w:p>
      <w:pPr>
        <w:pStyle w:val="Normal"/>
        <w:rPr/>
      </w:pPr>
      <w:r>
        <w:rPr/>
        <w:t>The amount is deposited into the bank account and it reflects on the statement</w:t>
      </w:r>
    </w:p>
    <w:p>
      <w:pPr>
        <w:pStyle w:val="Normal"/>
        <w:rPr/>
      </w:pPr>
      <w:r>
        <w:rPr/>
        <w:t>The amount appears as a debit balance on the account.</w:t>
      </w:r>
    </w:p>
    <w:p>
      <w:pPr>
        <w:pStyle w:val="Heading1"/>
        <w:keepNext/>
        <w:keepLines w:val="false"/>
        <w:numPr>
          <w:ilvl w:val="2"/>
          <w:numId w:val="1"/>
        </w:numPr>
        <w:overflowPunct w:val="false"/>
        <w:spacing w:before="240" w:after="0"/>
        <w:jc w:val="left"/>
        <w:rPr/>
      </w:pPr>
      <w:bookmarkStart w:id="13" w:name="_Toc440981660"/>
      <w:bookmarkEnd w:id="13"/>
      <w:r>
        <w:rPr/>
        <w:t>Assumptions</w:t>
      </w:r>
    </w:p>
    <w:p>
      <w:pPr>
        <w:pStyle w:val="Normal"/>
        <w:rPr/>
      </w:pPr>
      <w:r>
        <w:rPr/>
        <w:t>The consumer is known</w:t>
      </w:r>
    </w:p>
    <w:p>
      <w:pPr>
        <w:pStyle w:val="Normal"/>
        <w:rPr/>
      </w:pPr>
      <w:r>
        <w:rPr/>
        <w:t xml:space="preserve">The payment plan exists </w:t>
      </w:r>
    </w:p>
    <w:p>
      <w:pPr>
        <w:pStyle w:val="Normal"/>
        <w:rPr/>
      </w:pPr>
      <w:r>
        <w:rPr/>
        <w:t>Payment distribution to credit providers is done from consumer account.</w:t>
      </w:r>
    </w:p>
    <w:p>
      <w:pPr>
        <w:pStyle w:val="Normal"/>
        <w:rPr/>
      </w:pPr>
      <w:r>
        <w:rPr/>
        <w:t xml:space="preserve">The payment is made successfully. </w:t>
      </w:r>
    </w:p>
    <w:p>
      <w:pPr>
        <w:pStyle w:val="Normal"/>
        <w:rPr>
          <w:u w:val="single"/>
        </w:rPr>
      </w:pPr>
      <w:r>
        <w:rPr>
          <w:u w:val="single"/>
        </w:rPr>
        <w:t>General ledger entries</w:t>
      </w:r>
    </w:p>
    <w:p>
      <w:pPr>
        <w:pStyle w:val="Normal"/>
        <w:rPr/>
      </w:pPr>
      <w:r>
        <w:rPr/>
        <w:t xml:space="preserve">The balance appears as a debit balance on the bank account. There is a need to transfer this amount to the consumer account. </w:t>
      </w:r>
    </w:p>
    <w:p>
      <w:pPr>
        <w:pStyle w:val="Normal"/>
        <w:rPr/>
      </w:pPr>
      <w:r>
        <w:rPr/>
        <w:t>Credit the bank account with the amount and debit the consumer account with the deposited amount.</w:t>
      </w:r>
    </w:p>
    <w:p>
      <w:pPr>
        <w:pStyle w:val="Normal"/>
        <w:rPr/>
      </w:pPr>
      <w:r>
        <w:rPr/>
        <w:t xml:space="preserve">On payment distribution time; credit the consumer account with each amount that is paid out to credit providers. </w:t>
      </w:r>
    </w:p>
    <w:p>
      <w:pPr>
        <w:pStyle w:val="Normal"/>
        <w:rPr/>
      </w:pPr>
      <w:r>
        <w:rPr/>
        <w:t>The credit providers outstanding balances is reduced by the payment received from consumer.</w:t>
      </w:r>
    </w:p>
    <w:p>
      <w:pPr>
        <w:pStyle w:val="Normal"/>
        <w:rPr>
          <w:u w:val="single"/>
        </w:rPr>
      </w:pPr>
      <w:r>
        <w:rPr>
          <w:u w:val="single"/>
        </w:rPr>
        <w:t>Accounts involved and Contra Entries</w:t>
      </w:r>
    </w:p>
    <w:p>
      <w:pPr>
        <w:pStyle w:val="Normal"/>
        <w:rPr/>
      </w:pPr>
      <w:r>
        <w:rPr/>
        <w:t>Main Bank account</w:t>
      </w:r>
    </w:p>
    <w:p>
      <w:pPr>
        <w:pStyle w:val="Normal"/>
        <w:rPr/>
      </w:pPr>
      <w:r>
        <w:rPr/>
        <w:t>Consumer Account</w:t>
      </w:r>
    </w:p>
    <w:p>
      <w:pPr>
        <w:sectPr>
          <w:footerReference w:type="default" r:id="rId4"/>
          <w:type w:val="nextPage"/>
          <w:pgSz w:w="12240" w:h="15840"/>
          <w:pgMar w:left="1440" w:right="1440" w:header="0" w:top="1440" w:footer="720" w:bottom="1440" w:gutter="0"/>
          <w:pgNumType w:fmt="decimal"/>
          <w:formProt w:val="false"/>
          <w:textDirection w:val="lrTb"/>
          <w:docGrid w:type="default" w:linePitch="240" w:charSpace="4294965247"/>
        </w:sectPr>
        <w:pStyle w:val="Normal"/>
        <w:rPr/>
      </w:pPr>
      <w:r>
        <w:rPr/>
        <w:t xml:space="preserve">Credit Provider Accounts </w:t>
      </w:r>
    </w:p>
    <w:p>
      <w:pPr>
        <w:pStyle w:val="Heading2"/>
        <w:ind w:left="0" w:hanging="0"/>
        <w:rPr>
          <w:b w:val="false"/>
          <w:b w:val="false"/>
          <w:bCs w:val="false"/>
          <w:u w:val="single"/>
        </w:rPr>
      </w:pPr>
      <w:bookmarkStart w:id="14" w:name="_Toc440981661"/>
      <w:bookmarkEnd w:id="14"/>
      <w:r>
        <w:rPr>
          <w:lang w:val="en-US"/>
        </w:rPr>
        <w:t>General Ledger Accounts with purpose / usage</w:t>
      </w:r>
    </w:p>
    <w:p>
      <w:pPr>
        <w:pStyle w:val="Normal"/>
        <w:rPr>
          <w:b/>
          <w:b/>
          <w:bCs/>
        </w:rPr>
      </w:pPr>
      <w:r>
        <w:rPr>
          <w:b/>
          <w:bCs/>
        </w:rPr>
      </w:r>
    </w:p>
    <w:p>
      <w:pPr>
        <w:pStyle w:val="Normal"/>
        <w:rPr>
          <w:b/>
          <w:b/>
          <w:bCs/>
        </w:rPr>
      </w:pPr>
      <w:r>
        <w:rPr>
          <w:b/>
          <w:bCs/>
        </w:rPr>
      </w:r>
    </w:p>
    <w:tbl>
      <w:tblPr>
        <w:tblW w:w="15360"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Look w:val="04a0" w:noVBand="1" w:noHBand="0" w:lastColumn="0" w:firstColumn="1" w:lastRow="0" w:firstRow="1"/>
      </w:tblPr>
      <w:tblGrid>
        <w:gridCol w:w="1652"/>
        <w:gridCol w:w="3922"/>
        <w:gridCol w:w="1924"/>
        <w:gridCol w:w="5186"/>
        <w:gridCol w:w="2676"/>
      </w:tblGrid>
      <w:tr>
        <w:trPr>
          <w:tblHeader w:val="true"/>
          <w:trHeight w:val="27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tcMar>
              <w:left w:w="98" w:type="dxa"/>
            </w:tcMar>
          </w:tcPr>
          <w:p>
            <w:pPr>
              <w:pStyle w:val="Normal"/>
              <w:spacing w:lineRule="auto" w:line="240" w:before="0" w:after="0"/>
              <w:jc w:val="center"/>
              <w:rPr>
                <w:rFonts w:cs="Times New Roman"/>
                <w:b/>
                <w:b/>
                <w:bCs/>
                <w:color w:val="000000"/>
                <w:sz w:val="20"/>
                <w:szCs w:val="20"/>
                <w:lang w:val="en-US"/>
              </w:rPr>
            </w:pPr>
            <w:r>
              <w:rPr>
                <w:rFonts w:cs="Times New Roman"/>
                <w:b/>
                <w:bCs/>
                <w:color w:val="000000"/>
                <w:sz w:val="20"/>
                <w:szCs w:val="20"/>
                <w:lang w:val="en-US"/>
              </w:rPr>
              <w:t>GLAccount_pk</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tcPr>
          <w:p>
            <w:pPr>
              <w:pStyle w:val="Normal"/>
              <w:spacing w:lineRule="auto" w:line="240" w:before="0" w:after="0"/>
              <w:jc w:val="center"/>
              <w:rPr>
                <w:rFonts w:cs="Times New Roman"/>
                <w:b/>
                <w:b/>
                <w:bCs/>
                <w:color w:val="000000"/>
                <w:sz w:val="20"/>
                <w:szCs w:val="20"/>
                <w:lang w:val="en-US"/>
              </w:rPr>
            </w:pPr>
            <w:r>
              <w:rPr>
                <w:rFonts w:cs="Times New Roman"/>
                <w:b/>
                <w:bCs/>
                <w:color w:val="000000"/>
                <w:sz w:val="20"/>
                <w:szCs w:val="20"/>
                <w:lang w:val="en-US"/>
              </w:rPr>
              <w:t>Description</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tcPr>
          <w:p>
            <w:pPr>
              <w:pStyle w:val="Normal"/>
              <w:spacing w:lineRule="auto" w:line="240" w:before="0" w:after="0"/>
              <w:jc w:val="center"/>
              <w:rPr>
                <w:rFonts w:cs="Times New Roman"/>
                <w:b/>
                <w:b/>
                <w:bCs/>
                <w:color w:val="000000"/>
                <w:sz w:val="20"/>
                <w:szCs w:val="20"/>
                <w:lang w:val="en-US"/>
              </w:rPr>
            </w:pPr>
            <w:r>
              <w:rPr>
                <w:rFonts w:cs="Times New Roman"/>
                <w:b/>
                <w:bCs/>
                <w:color w:val="000000"/>
                <w:sz w:val="20"/>
                <w:szCs w:val="20"/>
                <w:lang w:val="en-US"/>
              </w:rPr>
              <w:t>BankAccount_fk</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tcPr>
          <w:p>
            <w:pPr>
              <w:pStyle w:val="Normal"/>
              <w:spacing w:lineRule="auto" w:line="240" w:before="0" w:after="0"/>
              <w:jc w:val="center"/>
              <w:rPr>
                <w:rFonts w:cs="Times New Roman"/>
                <w:b/>
                <w:b/>
                <w:bCs/>
                <w:color w:val="000000"/>
                <w:sz w:val="20"/>
                <w:szCs w:val="20"/>
                <w:lang w:val="en-US"/>
              </w:rPr>
            </w:pPr>
            <w:r>
              <w:rPr>
                <w:rFonts w:cs="Times New Roman"/>
                <w:b/>
                <w:bCs/>
                <w:color w:val="000000"/>
                <w:sz w:val="20"/>
                <w:szCs w:val="20"/>
                <w:lang w:val="en-US"/>
              </w:rPr>
              <w:t>Purpose / Usage</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tcPr>
          <w:p>
            <w:pPr>
              <w:pStyle w:val="Normal"/>
              <w:spacing w:lineRule="auto" w:line="240" w:before="0" w:after="0"/>
              <w:jc w:val="center"/>
              <w:rPr>
                <w:rFonts w:cs="Times New Roman"/>
                <w:b/>
                <w:b/>
                <w:bCs/>
                <w:color w:val="000000"/>
                <w:sz w:val="20"/>
                <w:szCs w:val="20"/>
                <w:lang w:val="en-US"/>
              </w:rPr>
            </w:pPr>
            <w:r>
              <w:rPr>
                <w:rFonts w:cs="Times New Roman"/>
                <w:b/>
                <w:bCs/>
                <w:color w:val="000000"/>
                <w:sz w:val="20"/>
                <w:szCs w:val="20"/>
                <w:lang w:val="en-US"/>
              </w:rPr>
              <w:t>Account Type</w:t>
            </w:r>
          </w:p>
        </w:tc>
      </w:tr>
      <w:tr>
        <w:trPr>
          <w:trHeight w:val="51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10</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 xml:space="preserve">Mercantile D/O Collections Trust / </w:t>
            </w:r>
            <w:r>
              <w:rPr>
                <w:rFonts w:cs="Times New Roman"/>
                <w:bCs/>
                <w:color w:val="00B050"/>
                <w:sz w:val="20"/>
                <w:szCs w:val="20"/>
                <w:lang w:val="en-US"/>
              </w:rPr>
              <w:t>NPDA Bank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13</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GL Account that represents a bank account - An account at Mercantile where all our debit orders are received</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Asset</w:t>
            </w:r>
          </w:p>
        </w:tc>
      </w:tr>
      <w:tr>
        <w:trPr>
          <w:trHeight w:val="51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11</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 xml:space="preserve">Nedbank Main Trust / </w:t>
            </w:r>
            <w:r>
              <w:rPr>
                <w:rFonts w:cs="Times New Roman"/>
                <w:bCs/>
                <w:color w:val="00B050"/>
                <w:sz w:val="20"/>
                <w:szCs w:val="20"/>
                <w:lang w:val="en-US"/>
              </w:rPr>
              <w:t>NPDA Bank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9</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GL Account that represents a bank account - Nedbank trust account - the first one we had for this version of the NPDA system</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Asset</w:t>
            </w:r>
          </w:p>
        </w:tc>
      </w:tr>
      <w:tr>
        <w:trPr>
          <w:trHeight w:val="51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12</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Nedbank NPDA Business /</w:t>
            </w:r>
            <w:r>
              <w:rPr>
                <w:rFonts w:cs="Times New Roman"/>
                <w:bCs/>
                <w:color w:val="00B050"/>
                <w:sz w:val="20"/>
                <w:szCs w:val="20"/>
                <w:lang w:val="en-US"/>
              </w:rPr>
              <w:t xml:space="preserve"> NPDA Business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11</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GL Account that represents a bank account - This account is the DCM Group account, here we pay PDA fees into</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Asset</w:t>
            </w:r>
          </w:p>
        </w:tc>
      </w:tr>
      <w:tr>
        <w:trPr>
          <w:trHeight w:val="51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13</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Nedbank Eminence Trust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16</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GL Account that represents a bank account - Nedbank trust account we opened when we took on the Eminence business (late 2013)</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Asset</w:t>
            </w:r>
          </w:p>
        </w:tc>
      </w:tr>
      <w:tr>
        <w:trPr>
          <w:trHeight w:val="765"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14</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Nedbank Pay Away</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10</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GL Account that represents a bank account - This is an account we use for payments of Mercantile debit orders received, money is transferred there and payments made out of that account</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Asset</w:t>
            </w:r>
          </w:p>
        </w:tc>
      </w:tr>
      <w:tr>
        <w:trPr>
          <w:trHeight w:val="51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15</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 xml:space="preserve">Unidentifieds / </w:t>
            </w:r>
            <w:r>
              <w:rPr>
                <w:rFonts w:cs="Times New Roman"/>
                <w:bCs/>
                <w:color w:val="00B050"/>
                <w:sz w:val="20"/>
                <w:szCs w:val="20"/>
                <w:lang w:val="en-US"/>
              </w:rPr>
              <w:t>Unidentified Funds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24</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GL Account that represents a bank account - New SLA unidentifieds account</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Liability</w:t>
            </w:r>
          </w:p>
        </w:tc>
      </w:tr>
      <w:tr>
        <w:trPr>
          <w:trHeight w:val="51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20</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Consumer Clearing Account /</w:t>
            </w:r>
            <w:r>
              <w:rPr>
                <w:rFonts w:cs="Times New Roman"/>
                <w:bCs/>
                <w:color w:val="00B050"/>
                <w:sz w:val="20"/>
                <w:szCs w:val="20"/>
                <w:lang w:val="en-US"/>
              </w:rPr>
              <w:t xml:space="preserve"> Consumer Clearing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An account per consumer shows summaries of all DR/CR</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51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21</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Wage Earners Clearing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Not used - meant to handle consolidations of weekly payers</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765"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30</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Payment Clearing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Not used - meant to be an account that would show a consolidated movement of funds out of the trust account to be reconciled to the CR on the bank statement</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51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31</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Creditor Account /</w:t>
            </w:r>
            <w:r>
              <w:rPr>
                <w:rFonts w:cs="Times New Roman"/>
                <w:bCs/>
                <w:color w:val="00B050"/>
                <w:sz w:val="20"/>
                <w:szCs w:val="20"/>
                <w:lang w:val="en-US"/>
              </w:rPr>
              <w:t xml:space="preserve"> Creditor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An account per consumer obligation where funds are paid to</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765"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32</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DC Fee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An account per DC consumer for their nag fee and aftercare fee relating to what is owing for this</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51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33</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Legal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An account per Legal entity per consumer relating to what is owing for legal</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51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34</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PDA Fees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An account where PDA fees are reflected for every distribution</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Income</w:t>
            </w:r>
          </w:p>
        </w:tc>
      </w:tr>
      <w:tr>
        <w:trPr>
          <w:trHeight w:val="51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35</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DC Application Fee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An account per DC consumer for their application fee relating to what is owing for this</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765"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40</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Deallocations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Not used - meant to be an account to move money that was reconciled but later unreconciled</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51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41</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Unidentified Deposits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Not used (probably can be handled by the new Unidentified bank account  rather)</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Liability</w:t>
            </w:r>
          </w:p>
        </w:tc>
      </w:tr>
      <w:tr>
        <w:trPr>
          <w:trHeight w:val="765"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90</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Bank Junk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An account used to reconcile statement meta data typically zero line items on a statement</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765"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91</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Transfer Clearing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Not used - meant to be an account that would show a consolidated movement of funds out of the trust account to be reconciled to the CR on the bank statement</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27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92</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Discontinued - Nedbank NPDA Business (Act#: 1497207622)</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Not sure</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51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93</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DCM Smart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Used to represent any monies we would sweep to DCM SMART</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765"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94</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Bank Costs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Used to reconcile any banking costs (used to be relevant before a cash management rule to pool all fees to one account was applied to our accounts)</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51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New</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External third Party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 </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Not a bank account - it must be a GL Account - Used to capture any monies taken from our bank accounts without permission by a third party</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Asset</w:t>
            </w:r>
          </w:p>
        </w:tc>
      </w:tr>
      <w:tr>
        <w:trPr>
          <w:trHeight w:val="51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New</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Provision for Profit and Loss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 </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Not a bank account - it must be a GL Account - Used to capture amounts which are being recovered and provision for profit and loss</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Expense</w:t>
            </w:r>
          </w:p>
        </w:tc>
      </w:tr>
      <w:tr>
        <w:trPr>
          <w:trHeight w:val="51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New</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Refund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 </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Not a bank account - it must be a GL Account - used to capture all refunds from creditors</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Liability</w:t>
            </w:r>
          </w:p>
        </w:tc>
      </w:tr>
      <w:tr>
        <w:trPr>
          <w:trHeight w:val="51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New</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Returns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 </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Not a bank account - it must be a GL Account - used to capture all bank returns</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Liability</w:t>
            </w:r>
          </w:p>
        </w:tc>
      </w:tr>
      <w:tr>
        <w:trPr>
          <w:trHeight w:val="51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New</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Suspended Funds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 </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Not a bank account - it must be a GL account - used to hold funds while decision is being made on how to distribute</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Liability</w:t>
            </w:r>
          </w:p>
        </w:tc>
      </w:tr>
      <w:tr>
        <w:trPr>
          <w:trHeight w:val="51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New</w:t>
            </w:r>
          </w:p>
        </w:tc>
        <w:tc>
          <w:tcPr>
            <w:tcW w:w="3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Failed Distribution Account</w:t>
            </w:r>
          </w:p>
        </w:tc>
        <w:tc>
          <w:tcPr>
            <w:tcW w:w="19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 </w:t>
            </w:r>
          </w:p>
        </w:tc>
        <w:tc>
          <w:tcPr>
            <w:tcW w:w="5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Not a bank account - it must be a GL account - used to hold funds which failed during distribution</w:t>
            </w:r>
          </w:p>
        </w:tc>
        <w:tc>
          <w:tcPr>
            <w:tcW w:w="2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Liability</w:t>
            </w:r>
          </w:p>
        </w:tc>
      </w:tr>
    </w:tbl>
    <w:p>
      <w:pPr>
        <w:sectPr>
          <w:headerReference w:type="default" r:id="rId5"/>
          <w:headerReference w:type="first" r:id="rId6"/>
          <w:footerReference w:type="default" r:id="rId7"/>
          <w:footerReference w:type="first" r:id="rId8"/>
          <w:type w:val="nextPage"/>
          <w:pgSz w:orient="landscape" w:w="16838" w:h="11906"/>
          <w:pgMar w:left="562" w:right="288" w:header="302" w:top="1411" w:footer="360" w:bottom="1411" w:gutter="0"/>
          <w:pgNumType w:fmt="decimal"/>
          <w:formProt w:val="false"/>
          <w:titlePg/>
          <w:textDirection w:val="lrTb"/>
          <w:docGrid w:type="default" w:linePitch="299" w:charSpace="4294965247"/>
        </w:sectPr>
        <w:pStyle w:val="Normal"/>
        <w:rPr>
          <w:b/>
          <w:b/>
          <w:bCs/>
        </w:rPr>
      </w:pPr>
      <w:r>
        <w:rPr>
          <w:b/>
          <w:bCs/>
        </w:rPr>
      </w:r>
    </w:p>
    <w:p>
      <w:pPr>
        <w:pStyle w:val="Normal"/>
        <w:rPr>
          <w:b/>
          <w:b/>
          <w:bCs/>
        </w:rPr>
      </w:pPr>
      <w:r>
        <w:rPr>
          <w:b/>
          <w:bCs/>
        </w:rPr>
      </w:r>
    </w:p>
    <w:p>
      <w:pPr>
        <w:pStyle w:val="Heading2"/>
        <w:ind w:left="0" w:hanging="0"/>
        <w:rPr/>
      </w:pPr>
      <w:bookmarkStart w:id="15" w:name="_Toc440981662"/>
      <w:bookmarkEnd w:id="15"/>
      <w:r>
        <w:rPr>
          <w:lang w:val="en-US"/>
        </w:rPr>
        <w:t>Successful Distributions</w:t>
      </w:r>
    </w:p>
    <w:tbl>
      <w:tblPr>
        <w:tblW w:w="9316"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1926"/>
        <w:gridCol w:w="3140"/>
        <w:gridCol w:w="4250"/>
      </w:tblGrid>
      <w:tr>
        <w:trPr>
          <w:trHeight w:val="270" w:hRule="atLeast"/>
        </w:trPr>
        <w:tc>
          <w:tcPr>
            <w:tcW w:w="9316"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transfer of one form of funds service or financial asset in exchange for another in proportions that have been previously agreed upon by parties involved. Payment is made in the form of funds.</w:t>
            </w:r>
          </w:p>
        </w:tc>
      </w:tr>
      <w:tr>
        <w:trPr>
          <w:trHeight w:val="643" w:hRule="exact"/>
        </w:trPr>
        <w:tc>
          <w:tcPr>
            <w:tcW w:w="9316"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0" w:hRule="atLeast"/>
        </w:trPr>
        <w:tc>
          <w:tcPr>
            <w:tcW w:w="19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270" w:hRule="atLeast"/>
        </w:trPr>
        <w:tc>
          <w:tcPr>
            <w:tcW w:w="19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color w:val="000000"/>
                <w:sz w:val="20"/>
                <w:szCs w:val="20"/>
                <w:lang w:val="en-US"/>
              </w:rPr>
              <w:t>DEBIT</w:t>
            </w:r>
          </w:p>
        </w:tc>
        <w:tc>
          <w:tcPr>
            <w:tcW w:w="3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color w:val="000000"/>
                <w:sz w:val="20"/>
                <w:szCs w:val="20"/>
                <w:lang w:val="en-US"/>
              </w:rPr>
              <w:t>Daily Bank Statement Control Account</w:t>
            </w:r>
          </w:p>
        </w:tc>
        <w:tc>
          <w:tcPr>
            <w:tcW w:w="42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pPr>
            <w:r>
              <w:rPr>
                <w:rFonts w:cs="Times New Roman"/>
                <w:color w:val="000000"/>
                <w:sz w:val="20"/>
                <w:szCs w:val="20"/>
                <w:lang w:val="en-US"/>
              </w:rPr>
              <w:t xml:space="preserve">The deposited amount is transferred </w:t>
            </w:r>
            <w:r>
              <w:rPr>
                <w:rFonts w:cs="Times New Roman"/>
                <w:color w:val="000000"/>
                <w:sz w:val="20"/>
                <w:szCs w:val="20"/>
                <w:lang w:val="en-US"/>
              </w:rPr>
              <w:t>un</w:t>
            </w:r>
            <w:r>
              <w:rPr>
                <w:rFonts w:cs="Times New Roman"/>
                <w:color w:val="000000"/>
                <w:sz w:val="20"/>
                <w:szCs w:val="20"/>
                <w:lang w:val="en-US"/>
              </w:rPr>
              <w:t>reconciled to the daily</w:t>
            </w:r>
            <w:bookmarkStart w:id="16" w:name="_GoBack"/>
            <w:bookmarkEnd w:id="16"/>
            <w:r>
              <w:rPr>
                <w:rFonts w:cs="Times New Roman"/>
                <w:color w:val="000000"/>
                <w:sz w:val="20"/>
                <w:szCs w:val="20"/>
                <w:lang w:val="en-US"/>
              </w:rPr>
              <w:t xml:space="preserve"> bank statement control account ready </w:t>
            </w:r>
            <w:r>
              <w:rPr>
                <w:rFonts w:cs="Times New Roman"/>
                <w:color w:val="000000"/>
                <w:sz w:val="20"/>
                <w:szCs w:val="20"/>
                <w:lang w:val="en-US"/>
              </w:rPr>
              <w:t>reconciliation</w:t>
            </w:r>
          </w:p>
        </w:tc>
      </w:tr>
      <w:tr>
        <w:trPr>
          <w:trHeight w:val="270" w:hRule="atLeast"/>
        </w:trPr>
        <w:tc>
          <w:tcPr>
            <w:tcW w:w="19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color w:val="000000"/>
                <w:sz w:val="20"/>
                <w:szCs w:val="20"/>
                <w:lang w:val="en-US"/>
              </w:rPr>
              <w:t>CREDIT</w:t>
            </w:r>
          </w:p>
        </w:tc>
        <w:tc>
          <w:tcPr>
            <w:tcW w:w="3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color w:val="000000"/>
                <w:sz w:val="20"/>
                <w:szCs w:val="20"/>
                <w:lang w:val="en-US"/>
              </w:rPr>
              <w:t>NPDA Bank Account</w:t>
            </w:r>
          </w:p>
        </w:tc>
        <w:tc>
          <w:tcPr>
            <w:tcW w:w="42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pPr>
            <w:r>
              <w:rPr>
                <w:rFonts w:cs="Times New Roman"/>
                <w:color w:val="000000"/>
                <w:sz w:val="20"/>
                <w:szCs w:val="20"/>
                <w:lang w:val="en-US"/>
              </w:rPr>
              <w:t xml:space="preserve">The deposited amount must be transferred from the NPDA Bank Account to </w:t>
            </w:r>
            <w:r>
              <w:rPr>
                <w:rFonts w:cs="Times New Roman"/>
                <w:color w:val="000000"/>
                <w:sz w:val="20"/>
                <w:szCs w:val="20"/>
                <w:lang w:val="en-US"/>
              </w:rPr>
              <w:t>NPDA Bank Control Account</w:t>
            </w:r>
          </w:p>
        </w:tc>
      </w:tr>
      <w:tr>
        <w:trPr>
          <w:trHeight w:val="270" w:hRule="atLeast"/>
        </w:trPr>
        <w:tc>
          <w:tcPr>
            <w:tcW w:w="19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Then</w:t>
            </w:r>
          </w:p>
        </w:tc>
        <w:tc>
          <w:tcPr>
            <w:tcW w:w="3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r>
          </w:p>
        </w:tc>
        <w:tc>
          <w:tcPr>
            <w:tcW w:w="42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r>
          </w:p>
        </w:tc>
      </w:tr>
      <w:tr>
        <w:trPr>
          <w:trHeight w:val="270" w:hRule="atLeast"/>
        </w:trPr>
        <w:tc>
          <w:tcPr>
            <w:tcW w:w="192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4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5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600" w:hRule="atLeast"/>
        </w:trPr>
        <w:tc>
          <w:tcPr>
            <w:tcW w:w="192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val="false"/>
                <w:b w:val="false"/>
                <w:bCs w:val="false"/>
                <w:color w:val="000000"/>
                <w:sz w:val="20"/>
                <w:szCs w:val="20"/>
                <w:lang w:val="en-US"/>
              </w:rPr>
            </w:pPr>
            <w:r>
              <w:rPr>
                <w:rFonts w:cs="Times New Roman"/>
                <w:b w:val="false"/>
                <w:bCs w:val="false"/>
                <w:color w:val="000000"/>
                <w:sz w:val="20"/>
                <w:szCs w:val="20"/>
                <w:lang w:val="en-US"/>
              </w:rPr>
              <w:t>DEBIT</w:t>
            </w:r>
          </w:p>
        </w:tc>
        <w:tc>
          <w:tcPr>
            <w:tcW w:w="314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val="false"/>
                <w:b w:val="false"/>
                <w:bCs w:val="false"/>
                <w:color w:val="000000"/>
                <w:sz w:val="20"/>
                <w:szCs w:val="20"/>
                <w:lang w:val="en-US"/>
              </w:rPr>
            </w:pPr>
            <w:r>
              <w:rPr>
                <w:rFonts w:cs="Times New Roman"/>
                <w:b w:val="false"/>
                <w:bCs w:val="false"/>
                <w:color w:val="000000"/>
                <w:sz w:val="20"/>
                <w:szCs w:val="20"/>
                <w:lang w:val="en-US"/>
              </w:rPr>
              <w:t>Consumer Clearing Account</w:t>
            </w:r>
          </w:p>
        </w:tc>
        <w:tc>
          <w:tcPr>
            <w:tcW w:w="425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val="false"/>
                <w:b w:val="false"/>
                <w:bCs w:val="false"/>
                <w:color w:val="000000"/>
                <w:sz w:val="20"/>
                <w:szCs w:val="20"/>
                <w:lang w:val="en-US"/>
              </w:rPr>
            </w:pPr>
            <w:bookmarkStart w:id="17" w:name="__DdeLink__7034_1709657445"/>
            <w:bookmarkEnd w:id="17"/>
            <w:r>
              <w:rPr>
                <w:rFonts w:cs="Times New Roman"/>
                <w:b w:val="false"/>
                <w:bCs w:val="false"/>
                <w:color w:val="000000"/>
                <w:sz w:val="20"/>
                <w:szCs w:val="20"/>
                <w:lang w:val="en-US"/>
              </w:rPr>
              <w:t>Deposited amount has been reconciled to this consumer</w:t>
            </w:r>
          </w:p>
        </w:tc>
      </w:tr>
      <w:tr>
        <w:trPr>
          <w:trHeight w:val="563" w:hRule="atLeast"/>
        </w:trPr>
        <w:tc>
          <w:tcPr>
            <w:tcW w:w="192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val="false"/>
                <w:b w:val="false"/>
                <w:bCs w:val="false"/>
                <w:color w:val="000000"/>
                <w:sz w:val="20"/>
                <w:szCs w:val="20"/>
                <w:lang w:val="en-US"/>
              </w:rPr>
            </w:pPr>
            <w:r>
              <w:rPr>
                <w:rFonts w:cs="Times New Roman"/>
                <w:b w:val="false"/>
                <w:bCs w:val="false"/>
                <w:color w:val="000000"/>
                <w:sz w:val="20"/>
                <w:szCs w:val="20"/>
                <w:lang w:val="en-US"/>
              </w:rPr>
              <w:t>CREDIT</w:t>
            </w:r>
          </w:p>
        </w:tc>
        <w:tc>
          <w:tcPr>
            <w:tcW w:w="314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val="false"/>
                <w:b w:val="false"/>
                <w:bCs w:val="false"/>
                <w:color w:val="000000"/>
                <w:sz w:val="20"/>
                <w:szCs w:val="20"/>
                <w:lang w:val="en-US"/>
              </w:rPr>
            </w:pPr>
            <w:r>
              <w:rPr>
                <w:rFonts w:cs="Times New Roman"/>
                <w:b w:val="false"/>
                <w:bCs w:val="false"/>
                <w:color w:val="000000"/>
                <w:sz w:val="20"/>
                <w:szCs w:val="20"/>
                <w:lang w:val="en-US"/>
              </w:rPr>
              <w:t>Daily Bank Statement Control Account</w:t>
            </w:r>
          </w:p>
        </w:tc>
        <w:tc>
          <w:tcPr>
            <w:tcW w:w="425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val="false"/>
                <w:b w:val="false"/>
                <w:bCs w:val="false"/>
                <w:color w:val="000000"/>
                <w:sz w:val="20"/>
                <w:szCs w:val="20"/>
                <w:lang w:val="en-US"/>
              </w:rPr>
            </w:pPr>
            <w:r>
              <w:rPr>
                <w:rFonts w:cs="Times New Roman"/>
                <w:b w:val="false"/>
                <w:bCs w:val="false"/>
                <w:color w:val="000000"/>
                <w:sz w:val="20"/>
                <w:szCs w:val="20"/>
                <w:lang w:val="en-US"/>
              </w:rPr>
              <w:t>Deposited amount has been reconciled to a consumer</w:t>
            </w:r>
          </w:p>
        </w:tc>
      </w:tr>
      <w:tr>
        <w:trPr>
          <w:trHeight w:val="270" w:hRule="atLeast"/>
        </w:trPr>
        <w:tc>
          <w:tcPr>
            <w:tcW w:w="1926"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r>
          </w:p>
        </w:tc>
        <w:tc>
          <w:tcPr>
            <w:tcW w:w="314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r>
          </w:p>
        </w:tc>
        <w:tc>
          <w:tcPr>
            <w:tcW w:w="425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r>
          </w:p>
        </w:tc>
      </w:tr>
      <w:tr>
        <w:trPr>
          <w:trHeight w:val="270" w:hRule="atLeast"/>
        </w:trPr>
        <w:tc>
          <w:tcPr>
            <w:tcW w:w="19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color w:val="000000"/>
                <w:sz w:val="20"/>
                <w:szCs w:val="20"/>
                <w:lang w:val="en-US"/>
              </w:rPr>
              <w:t>Then</w:t>
            </w:r>
          </w:p>
        </w:tc>
        <w:tc>
          <w:tcPr>
            <w:tcW w:w="3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r>
          </w:p>
        </w:tc>
        <w:tc>
          <w:tcPr>
            <w:tcW w:w="42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r>
          </w:p>
        </w:tc>
      </w:tr>
      <w:tr>
        <w:trPr>
          <w:trHeight w:val="270" w:hRule="atLeast"/>
        </w:trPr>
        <w:tc>
          <w:tcPr>
            <w:tcW w:w="19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40" w:hRule="atLeast"/>
        </w:trPr>
        <w:tc>
          <w:tcPr>
            <w:tcW w:w="19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Creditor Account</w:t>
            </w:r>
          </w:p>
        </w:tc>
        <w:tc>
          <w:tcPr>
            <w:tcW w:w="42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distribution amount is debited into the creditor account when payment is made</w:t>
            </w:r>
          </w:p>
        </w:tc>
      </w:tr>
      <w:tr>
        <w:trPr>
          <w:trHeight w:val="585" w:hRule="atLeast"/>
        </w:trPr>
        <w:tc>
          <w:tcPr>
            <w:tcW w:w="19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Consumer Clearing Account</w:t>
            </w:r>
          </w:p>
        </w:tc>
        <w:tc>
          <w:tcPr>
            <w:tcW w:w="42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distribution amount is paid from the Consumer Clearing Account to credit provider</w:t>
            </w:r>
          </w:p>
        </w:tc>
      </w:tr>
    </w:tbl>
    <w:p>
      <w:pPr>
        <w:sectPr>
          <w:headerReference w:type="default" r:id="rId11"/>
          <w:footerReference w:type="default" r:id="rId12"/>
          <w:type w:val="nextPage"/>
          <w:pgSz w:w="11906" w:h="16838"/>
          <w:pgMar w:left="1418" w:right="1418" w:header="302" w:top="359" w:footer="357" w:bottom="567" w:gutter="0"/>
          <w:pgNumType w:fmt="decimal"/>
          <w:formProt w:val="false"/>
          <w:textDirection w:val="lrTb"/>
          <w:docGrid w:type="default" w:linePitch="299" w:charSpace="4294965247"/>
        </w:sectPr>
        <w:pStyle w:val="Normal"/>
        <w:jc w:val="center"/>
        <w:rPr>
          <w:b/>
          <w:b/>
          <w:bCs/>
        </w:rPr>
      </w:pPr>
      <w:r>
        <w:rPr/>
        <w:object>
          <v:shape id="ole_rId9" style="width:666.15pt;height:391.3pt" o:ole="">
            <v:imagedata r:id="rId10" o:title=""/>
          </v:shape>
          <o:OLEObject Type="Embed" ProgID="Visio.Drawing.15" ShapeID="ole_rId9" DrawAspect="Content" ObjectID="_781980322" r:id="rId9"/>
        </w:object>
      </w:r>
    </w:p>
    <w:p>
      <w:pPr>
        <w:pStyle w:val="Heading2"/>
        <w:ind w:left="0" w:hanging="0"/>
        <w:rPr>
          <w:lang w:val="en-US"/>
        </w:rPr>
      </w:pPr>
      <w:r>
        <w:rPr>
          <w:lang w:val="en-US"/>
        </w:rPr>
      </w:r>
    </w:p>
    <w:p>
      <w:pPr>
        <w:pStyle w:val="Heading2"/>
        <w:ind w:left="0" w:hanging="0"/>
        <w:rPr>
          <w:lang w:val="en-US"/>
        </w:rPr>
      </w:pPr>
      <w:bookmarkStart w:id="18" w:name="_Toc440981663"/>
      <w:bookmarkEnd w:id="18"/>
      <w:r>
        <w:rPr>
          <w:lang w:val="en-US"/>
        </w:rPr>
        <w:t>Refunds</w:t>
      </w:r>
    </w:p>
    <w:tbl>
      <w:tblPr>
        <w:tblW w:w="9238"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997"/>
        <w:gridCol w:w="3106"/>
        <w:gridCol w:w="5135"/>
      </w:tblGrid>
      <w:tr>
        <w:trPr>
          <w:trHeight w:val="360" w:hRule="atLeast"/>
        </w:trPr>
        <w:tc>
          <w:tcPr>
            <w:tcW w:w="9238"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pPr>
            <w:r>
              <w:rPr>
                <w:rFonts w:cs="Times New Roman"/>
                <w:color w:val="000000"/>
                <w:sz w:val="20"/>
                <w:szCs w:val="20"/>
                <w:lang w:val="en-US"/>
              </w:rPr>
              <w:t>Funds refunded from a credit provider: Funds received on behalf of a consumer</w:t>
            </w:r>
          </w:p>
          <w:p>
            <w:pPr>
              <w:pStyle w:val="Normal"/>
              <w:spacing w:lineRule="auto" w:line="240" w:before="0" w:after="0"/>
              <w:jc w:val="left"/>
              <w:rPr/>
            </w:pPr>
            <w:r>
              <w:rPr>
                <w:rFonts w:cs="Times New Roman"/>
                <w:color w:val="000000"/>
                <w:sz w:val="20"/>
                <w:szCs w:val="20"/>
                <w:lang w:val="en-US"/>
              </w:rPr>
              <w:t>contribution or refunded from a credit provider that should not be paid to credit</w:t>
            </w:r>
          </w:p>
          <w:p>
            <w:pPr>
              <w:pStyle w:val="Normal"/>
              <w:spacing w:lineRule="auto" w:line="240" w:before="0" w:after="0"/>
              <w:jc w:val="left"/>
              <w:rPr/>
            </w:pPr>
            <w:r>
              <w:rPr>
                <w:rFonts w:cs="Times New Roman"/>
                <w:color w:val="000000"/>
                <w:sz w:val="20"/>
                <w:szCs w:val="20"/>
                <w:lang w:val="en-US"/>
              </w:rPr>
              <w:t xml:space="preserve"> </w:t>
            </w:r>
            <w:r>
              <w:rPr>
                <w:rFonts w:cs="Times New Roman"/>
                <w:color w:val="000000"/>
                <w:sz w:val="20"/>
                <w:szCs w:val="20"/>
                <w:lang w:val="en-US"/>
              </w:rPr>
              <w:t>providers, but paid to the consumer direct.</w:t>
              <w:br/>
              <w:t>Creditor refund: A sum of money paid into the NPDA account from a credit provider that previously received funds. Creditor refunds occur when the credit provider was unable to allocate payment to a Consumer Account or when the consumer is paid up and shows a credit balance.</w:t>
            </w:r>
          </w:p>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3" w:hRule="exact"/>
        </w:trPr>
        <w:tc>
          <w:tcPr>
            <w:tcW w:w="9238"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3" w:hRule="exact"/>
        </w:trPr>
        <w:tc>
          <w:tcPr>
            <w:tcW w:w="9238"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3" w:hRule="exact"/>
        </w:trPr>
        <w:tc>
          <w:tcPr>
            <w:tcW w:w="9238"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0" w:hRule="atLeast"/>
        </w:trPr>
        <w:tc>
          <w:tcPr>
            <w:tcW w:w="9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5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270" w:hRule="atLeast"/>
        </w:trPr>
        <w:tc>
          <w:tcPr>
            <w:tcW w:w="9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Refund Account</w:t>
            </w:r>
          </w:p>
        </w:tc>
        <w:tc>
          <w:tcPr>
            <w:tcW w:w="5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creditor refund amount increases with the refund amount</w:t>
            </w:r>
          </w:p>
        </w:tc>
      </w:tr>
      <w:tr>
        <w:trPr>
          <w:trHeight w:val="270" w:hRule="atLeast"/>
        </w:trPr>
        <w:tc>
          <w:tcPr>
            <w:tcW w:w="9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Creditor Account</w:t>
            </w:r>
          </w:p>
        </w:tc>
        <w:tc>
          <w:tcPr>
            <w:tcW w:w="5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There is an increase in the amount owed to the creditor</w:t>
            </w:r>
          </w:p>
        </w:tc>
      </w:tr>
      <w:tr>
        <w:trPr>
          <w:trHeight w:val="270" w:hRule="atLeast"/>
        </w:trPr>
        <w:tc>
          <w:tcPr>
            <w:tcW w:w="9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c>
          <w:tcPr>
            <w:tcW w:w="3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5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270" w:hRule="atLeast"/>
        </w:trPr>
        <w:tc>
          <w:tcPr>
            <w:tcW w:w="9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Then</w:t>
            </w:r>
          </w:p>
        </w:tc>
        <w:tc>
          <w:tcPr>
            <w:tcW w:w="3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5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270" w:hRule="atLeast"/>
        </w:trPr>
        <w:tc>
          <w:tcPr>
            <w:tcW w:w="9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5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40" w:hRule="atLeast"/>
        </w:trPr>
        <w:tc>
          <w:tcPr>
            <w:tcW w:w="9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Consumer Clearing Account</w:t>
            </w:r>
          </w:p>
        </w:tc>
        <w:tc>
          <w:tcPr>
            <w:tcW w:w="5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must be returned to the Consumer Clearing Account as a refund</w:t>
            </w:r>
          </w:p>
        </w:tc>
      </w:tr>
      <w:tr>
        <w:trPr>
          <w:trHeight w:val="555" w:hRule="atLeast"/>
        </w:trPr>
        <w:tc>
          <w:tcPr>
            <w:tcW w:w="9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Bank Account</w:t>
            </w:r>
          </w:p>
        </w:tc>
        <w:tc>
          <w:tcPr>
            <w:tcW w:w="5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bank account must be credited by the amount involved to take out the amount</w:t>
            </w:r>
          </w:p>
        </w:tc>
      </w:tr>
    </w:tbl>
    <w:p>
      <w:pPr>
        <w:pStyle w:val="Normal"/>
        <w:rPr>
          <w:b/>
          <w:b/>
          <w:bCs/>
        </w:rPr>
      </w:pPr>
      <w:r>
        <w:rPr>
          <w:b/>
          <w:bCs/>
        </w:rPr>
      </w:r>
    </w:p>
    <w:p>
      <w:pPr>
        <w:sectPr>
          <w:headerReference w:type="default" r:id="rId15"/>
          <w:footerReference w:type="default" r:id="rId16"/>
          <w:type w:val="nextPage"/>
          <w:pgSz w:w="11906" w:h="16838"/>
          <w:pgMar w:left="1418" w:right="1418" w:header="302" w:top="359" w:footer="357" w:bottom="567" w:gutter="0"/>
          <w:pgNumType w:fmt="decimal"/>
          <w:formProt w:val="false"/>
          <w:textDirection w:val="lrTb"/>
          <w:docGrid w:type="default" w:linePitch="299" w:charSpace="4294965247"/>
        </w:sectPr>
        <w:pStyle w:val="Normal"/>
        <w:rPr>
          <w:b/>
          <w:b/>
          <w:bCs/>
        </w:rPr>
      </w:pPr>
      <w:r>
        <w:rPr/>
        <w:object>
          <v:shape id="ole_rId13" style="width:782.6pt;height:253.55pt" o:ole="">
            <v:imagedata r:id="rId14" o:title=""/>
          </v:shape>
          <o:OLEObject Type="Embed" ProgID="Visio.Drawing.15" ShapeID="ole_rId13" DrawAspect="Content" ObjectID="_724500396" r:id="rId13"/>
        </w:object>
      </w:r>
    </w:p>
    <w:p>
      <w:pPr>
        <w:pStyle w:val="Heading2"/>
        <w:ind w:left="0" w:hanging="0"/>
        <w:rPr>
          <w:lang w:val="en-US"/>
        </w:rPr>
      </w:pPr>
      <w:bookmarkStart w:id="19" w:name="_Toc440981664"/>
      <w:bookmarkEnd w:id="19"/>
      <w:r>
        <w:rPr>
          <w:lang w:val="en-US"/>
        </w:rPr>
        <w:t>Returns</w:t>
      </w:r>
    </w:p>
    <w:tbl>
      <w:tblPr>
        <w:tblW w:w="9324"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1888"/>
        <w:gridCol w:w="3187"/>
        <w:gridCol w:w="4249"/>
      </w:tblGrid>
      <w:tr>
        <w:trPr>
          <w:trHeight w:val="270" w:hRule="atLeast"/>
        </w:trPr>
        <w:tc>
          <w:tcPr>
            <w:tcW w:w="9324"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ID was included onto a payment run, but the one particular payment transaction to a specific credit provider returned due to the credit provider rejecting the transaction on their side. This means that the funds left the account of the NPDA.</w:t>
            </w:r>
          </w:p>
        </w:tc>
      </w:tr>
      <w:tr>
        <w:trPr>
          <w:trHeight w:val="557" w:hRule="exact"/>
        </w:trPr>
        <w:tc>
          <w:tcPr>
            <w:tcW w:w="9324"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3" w:hRule="exact"/>
        </w:trPr>
        <w:tc>
          <w:tcPr>
            <w:tcW w:w="9324"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Returns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returns account increases with the return amount</w:t>
            </w:r>
          </w:p>
        </w:tc>
      </w:tr>
      <w:tr>
        <w:trPr>
          <w:trHeight w:val="55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Bank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bank account must be credited by the amount involved to take out the amount</w:t>
            </w:r>
          </w:p>
        </w:tc>
      </w:tr>
      <w:tr>
        <w:trPr>
          <w:trHeight w:val="6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19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5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Consumer Clearing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must be returned to the Consumer Clearing Account as a return</w:t>
            </w:r>
          </w:p>
        </w:tc>
      </w:tr>
      <w:tr>
        <w:trPr>
          <w:trHeight w:val="55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Returns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returns account is decreased the return amount</w:t>
            </w:r>
          </w:p>
        </w:tc>
      </w:tr>
    </w:tbl>
    <w:p>
      <w:pPr>
        <w:pStyle w:val="Normal"/>
        <w:rPr>
          <w:b/>
          <w:b/>
          <w:bCs/>
        </w:rPr>
      </w:pPr>
      <w:r>
        <w:rPr>
          <w:b/>
          <w:bCs/>
        </w:rPr>
      </w:r>
    </w:p>
    <w:p>
      <w:pPr>
        <w:sectPr>
          <w:headerReference w:type="default" r:id="rId19"/>
          <w:footerReference w:type="default" r:id="rId20"/>
          <w:type w:val="nextPage"/>
          <w:pgSz w:w="11906" w:h="16838"/>
          <w:pgMar w:left="1418" w:right="1418" w:header="302" w:top="359" w:footer="357" w:bottom="567" w:gutter="0"/>
          <w:pgNumType w:fmt="decimal"/>
          <w:formProt w:val="false"/>
          <w:textDirection w:val="lrTb"/>
          <w:docGrid w:type="default" w:linePitch="299" w:charSpace="4294965247"/>
        </w:sectPr>
        <w:pStyle w:val="Normal"/>
        <w:rPr>
          <w:b/>
          <w:b/>
          <w:bCs/>
        </w:rPr>
      </w:pPr>
      <w:r>
        <w:rPr/>
        <w:object>
          <v:shape id="ole_rId17" style="width:775.7pt;height:250.45pt" o:ole="">
            <v:imagedata r:id="rId18" o:title=""/>
          </v:shape>
          <o:OLEObject Type="Embed" ProgID="Visio.Drawing.15" ShapeID="ole_rId17" DrawAspect="Content" ObjectID="_476765090" r:id="rId17"/>
        </w:object>
      </w:r>
    </w:p>
    <w:p>
      <w:pPr>
        <w:pStyle w:val="Normal"/>
        <w:rPr>
          <w:b/>
          <w:b/>
          <w:bCs/>
        </w:rPr>
      </w:pPr>
      <w:r>
        <w:rPr>
          <w:b/>
          <w:bCs/>
        </w:rPr>
      </w:r>
    </w:p>
    <w:p>
      <w:pPr>
        <w:pStyle w:val="Heading2"/>
        <w:ind w:left="0" w:hanging="0"/>
        <w:rPr>
          <w:lang w:val="en-US"/>
        </w:rPr>
      </w:pPr>
      <w:bookmarkStart w:id="20" w:name="_Toc440981665"/>
      <w:bookmarkEnd w:id="20"/>
      <w:r>
        <w:rPr>
          <w:lang w:val="en-US"/>
        </w:rPr>
        <w:t>Failed Distributions</w:t>
      </w:r>
    </w:p>
    <w:tbl>
      <w:tblPr>
        <w:tblW w:w="9316"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1908"/>
        <w:gridCol w:w="3158"/>
        <w:gridCol w:w="4250"/>
      </w:tblGrid>
      <w:tr>
        <w:trPr>
          <w:trHeight w:val="270" w:hRule="atLeast"/>
        </w:trPr>
        <w:tc>
          <w:tcPr>
            <w:tcW w:w="9316"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Failed Distributions – funds returned by the credit provider or bank because the consumer’s account has been paid up or the payment cannot be allocated by the credit provider or the bank and needs to be investigated, corrected and released again for payment to the credit provider.</w:t>
            </w:r>
          </w:p>
        </w:tc>
      </w:tr>
      <w:tr>
        <w:trPr>
          <w:trHeight w:val="845" w:hRule="exact"/>
        </w:trPr>
        <w:tc>
          <w:tcPr>
            <w:tcW w:w="9316"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3" w:hRule="exact"/>
        </w:trPr>
        <w:tc>
          <w:tcPr>
            <w:tcW w:w="9316"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0" w:hRule="atLeast"/>
        </w:trPr>
        <w:tc>
          <w:tcPr>
            <w:tcW w:w="19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5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270" w:hRule="atLeast"/>
        </w:trPr>
        <w:tc>
          <w:tcPr>
            <w:tcW w:w="19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5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Suspended Funds Account</w:t>
            </w:r>
          </w:p>
        </w:tc>
        <w:tc>
          <w:tcPr>
            <w:tcW w:w="42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failed distribution account increases the Suspended Funds Account with the failed amount</w:t>
            </w:r>
          </w:p>
        </w:tc>
      </w:tr>
      <w:tr>
        <w:trPr>
          <w:trHeight w:val="555" w:hRule="atLeast"/>
        </w:trPr>
        <w:tc>
          <w:tcPr>
            <w:tcW w:w="19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5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Payment Clearing Account</w:t>
            </w:r>
          </w:p>
        </w:tc>
        <w:tc>
          <w:tcPr>
            <w:tcW w:w="42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Payment Clearing Account must be credited by the amount involved.</w:t>
            </w:r>
          </w:p>
        </w:tc>
      </w:tr>
      <w:tr>
        <w:trPr>
          <w:trHeight w:val="60" w:hRule="atLeast"/>
        </w:trPr>
        <w:tc>
          <w:tcPr>
            <w:tcW w:w="19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Then</w:t>
            </w:r>
          </w:p>
        </w:tc>
        <w:tc>
          <w:tcPr>
            <w:tcW w:w="315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42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82" w:hRule="atLeast"/>
        </w:trPr>
        <w:tc>
          <w:tcPr>
            <w:tcW w:w="19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5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55" w:hRule="atLeast"/>
        </w:trPr>
        <w:tc>
          <w:tcPr>
            <w:tcW w:w="19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5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Consumer Clearing Account</w:t>
            </w:r>
          </w:p>
        </w:tc>
        <w:tc>
          <w:tcPr>
            <w:tcW w:w="42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must be returned to the Consumer Clearing Account as a return</w:t>
            </w:r>
          </w:p>
        </w:tc>
      </w:tr>
      <w:tr>
        <w:trPr>
          <w:trHeight w:val="555" w:hRule="atLeast"/>
        </w:trPr>
        <w:tc>
          <w:tcPr>
            <w:tcW w:w="19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5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Creditor Account</w:t>
            </w:r>
          </w:p>
        </w:tc>
        <w:tc>
          <w:tcPr>
            <w:tcW w:w="42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returns account is decreased the return amount</w:t>
            </w:r>
          </w:p>
        </w:tc>
      </w:tr>
    </w:tbl>
    <w:p>
      <w:pPr>
        <w:pStyle w:val="Normal"/>
        <w:spacing w:lineRule="auto" w:line="240" w:before="0" w:after="0"/>
        <w:jc w:val="left"/>
        <w:rPr>
          <w:b/>
          <w:b/>
          <w:bCs/>
        </w:rPr>
      </w:pPr>
      <w:r>
        <w:rPr>
          <w:b/>
          <w:bCs/>
        </w:rPr>
      </w:r>
    </w:p>
    <w:p>
      <w:pPr>
        <w:sectPr>
          <w:headerReference w:type="default" r:id="rId23"/>
          <w:footerReference w:type="default" r:id="rId24"/>
          <w:type w:val="nextPage"/>
          <w:pgSz w:w="11906" w:h="16838"/>
          <w:pgMar w:left="1418" w:right="1418" w:header="302" w:top="359" w:footer="357" w:bottom="567" w:gutter="0"/>
          <w:pgNumType w:fmt="decimal"/>
          <w:formProt w:val="false"/>
          <w:textDirection w:val="lrTb"/>
          <w:docGrid w:type="default" w:linePitch="299" w:charSpace="4294965247"/>
        </w:sectPr>
        <w:pStyle w:val="Normal"/>
        <w:spacing w:lineRule="auto" w:line="240" w:before="0" w:after="0"/>
        <w:jc w:val="left"/>
        <w:rPr>
          <w:b/>
          <w:b/>
          <w:bCs/>
        </w:rPr>
      </w:pPr>
      <w:r>
        <w:rPr/>
        <w:object>
          <v:shape id="ole_rId21" style="width:763.2pt;height:313.05pt" o:ole="">
            <v:imagedata r:id="rId22" o:title=""/>
          </v:shape>
          <o:OLEObject Type="Embed" ProgID="Visio.Drawing.15" ShapeID="ole_rId21" DrawAspect="Content" ObjectID="_722079808" r:id="rId21"/>
        </w:object>
      </w:r>
    </w:p>
    <w:p>
      <w:pPr>
        <w:pStyle w:val="Heading2"/>
        <w:ind w:left="0" w:hanging="0"/>
        <w:rPr>
          <w:lang w:val="en-US"/>
        </w:rPr>
      </w:pPr>
      <w:bookmarkStart w:id="21" w:name="_Toc440981666"/>
      <w:bookmarkEnd w:id="21"/>
      <w:r>
        <w:rPr>
          <w:lang w:val="en-US"/>
        </w:rPr>
        <w:t>Account reversals</w:t>
      </w:r>
    </w:p>
    <w:tbl>
      <w:tblPr>
        <w:tblW w:w="9174"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1855"/>
        <w:gridCol w:w="3098"/>
        <w:gridCol w:w="4221"/>
      </w:tblGrid>
      <w:tr>
        <w:trPr>
          <w:trHeight w:val="270" w:hRule="atLeast"/>
        </w:trPr>
        <w:tc>
          <w:tcPr>
            <w:tcW w:w="9174"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Account reversals: Consumers can reverse payments made to the NPDA.</w:t>
              <w:br/>
              <w:t>Although the NPDA has arranged for all banks to first notify and negotiate with the NPDA to ensure the NPDA is not out of pocket for a distributed transaction some banks still reverse funds without prior consultation.</w:t>
            </w:r>
          </w:p>
        </w:tc>
      </w:tr>
      <w:tr>
        <w:trPr>
          <w:trHeight w:val="670" w:hRule="exact"/>
        </w:trPr>
        <w:tc>
          <w:tcPr>
            <w:tcW w:w="9174"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3" w:hRule="exact"/>
        </w:trPr>
        <w:tc>
          <w:tcPr>
            <w:tcW w:w="9174"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0" w:hRule="atLeast"/>
        </w:trPr>
        <w:tc>
          <w:tcPr>
            <w:tcW w:w="18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0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270" w:hRule="atLeast"/>
        </w:trPr>
        <w:tc>
          <w:tcPr>
            <w:tcW w:w="18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0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Bank account</w:t>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must be reinstated into this account</w:t>
            </w:r>
          </w:p>
        </w:tc>
      </w:tr>
      <w:tr>
        <w:trPr>
          <w:trHeight w:val="541" w:hRule="atLeast"/>
        </w:trPr>
        <w:tc>
          <w:tcPr>
            <w:tcW w:w="18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0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Business Account</w:t>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which left the account must be replenished from a business account</w:t>
            </w:r>
          </w:p>
        </w:tc>
      </w:tr>
      <w:tr>
        <w:trPr>
          <w:trHeight w:val="270" w:hRule="atLeast"/>
        </w:trPr>
        <w:tc>
          <w:tcPr>
            <w:tcW w:w="18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c>
          <w:tcPr>
            <w:tcW w:w="30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270" w:hRule="atLeast"/>
        </w:trPr>
        <w:tc>
          <w:tcPr>
            <w:tcW w:w="18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Then</w:t>
            </w:r>
          </w:p>
        </w:tc>
        <w:tc>
          <w:tcPr>
            <w:tcW w:w="30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270" w:hRule="atLeast"/>
        </w:trPr>
        <w:tc>
          <w:tcPr>
            <w:tcW w:w="18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0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41" w:hRule="atLeast"/>
        </w:trPr>
        <w:tc>
          <w:tcPr>
            <w:tcW w:w="18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cs="Times New Roman"/>
                <w:color w:val="000000"/>
                <w:sz w:val="20"/>
                <w:szCs w:val="20"/>
                <w:lang w:val="en-US"/>
              </w:rPr>
            </w:pPr>
            <w:r>
              <w:rPr>
                <w:rFonts w:cs="Times New Roman"/>
                <w:color w:val="000000"/>
                <w:sz w:val="20"/>
                <w:szCs w:val="20"/>
                <w:lang w:val="en-US"/>
              </w:rPr>
              <w:t>DEBIT</w:t>
            </w:r>
          </w:p>
        </w:tc>
        <w:tc>
          <w:tcPr>
            <w:tcW w:w="30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cs="Times New Roman"/>
                <w:color w:val="000000"/>
                <w:sz w:val="20"/>
                <w:szCs w:val="20"/>
                <w:lang w:val="en-US"/>
              </w:rPr>
            </w:pPr>
            <w:r>
              <w:rPr>
                <w:rFonts w:cs="Times New Roman"/>
                <w:color w:val="000000"/>
                <w:sz w:val="20"/>
                <w:szCs w:val="20"/>
                <w:lang w:val="en-US"/>
              </w:rPr>
              <w:t>Provision for Profit and Loss Account</w:t>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cs="Times New Roman"/>
                <w:color w:val="000000"/>
                <w:sz w:val="20"/>
                <w:szCs w:val="20"/>
                <w:lang w:val="en-US"/>
              </w:rPr>
            </w:pPr>
            <w:r>
              <w:rPr>
                <w:rFonts w:cs="Times New Roman"/>
                <w:color w:val="000000"/>
                <w:sz w:val="20"/>
                <w:szCs w:val="20"/>
                <w:lang w:val="en-US"/>
              </w:rPr>
              <w:t>The amount involved which left the business account must be provided for in a provision for profit and loss account</w:t>
            </w:r>
          </w:p>
        </w:tc>
      </w:tr>
      <w:tr>
        <w:trPr>
          <w:trHeight w:val="285" w:hRule="atLeast"/>
        </w:trPr>
        <w:tc>
          <w:tcPr>
            <w:tcW w:w="18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cs="Times New Roman"/>
                <w:color w:val="000000"/>
                <w:sz w:val="20"/>
                <w:szCs w:val="20"/>
                <w:lang w:val="en-US"/>
              </w:rPr>
            </w:pPr>
            <w:r>
              <w:rPr>
                <w:rFonts w:cs="Times New Roman"/>
                <w:color w:val="000000"/>
                <w:sz w:val="20"/>
                <w:szCs w:val="20"/>
                <w:lang w:val="en-US"/>
              </w:rPr>
              <w:t>CREDIT</w:t>
            </w:r>
          </w:p>
        </w:tc>
        <w:tc>
          <w:tcPr>
            <w:tcW w:w="30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cs="Times New Roman"/>
                <w:color w:val="000000"/>
                <w:sz w:val="20"/>
                <w:szCs w:val="20"/>
                <w:lang w:val="en-US"/>
              </w:rPr>
            </w:pPr>
            <w:r>
              <w:rPr>
                <w:rFonts w:cs="Times New Roman"/>
                <w:color w:val="000000"/>
                <w:sz w:val="20"/>
                <w:szCs w:val="20"/>
                <w:lang w:val="en-US"/>
              </w:rPr>
              <w:t>Consumer Clearing Account</w:t>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cs="Times New Roman"/>
                <w:color w:val="000000"/>
                <w:sz w:val="20"/>
                <w:szCs w:val="20"/>
                <w:lang w:val="en-US"/>
              </w:rPr>
            </w:pPr>
            <w:r>
              <w:rPr>
                <w:rFonts w:cs="Times New Roman"/>
                <w:color w:val="000000"/>
                <w:sz w:val="20"/>
                <w:szCs w:val="20"/>
                <w:lang w:val="en-US"/>
              </w:rPr>
              <w:t>The Consumer Clearing Account must be debited by the reversal amount</w:t>
            </w:r>
          </w:p>
        </w:tc>
      </w:tr>
      <w:tr>
        <w:trPr>
          <w:trHeight w:val="285" w:hRule="atLeast"/>
        </w:trPr>
        <w:tc>
          <w:tcPr>
            <w:tcW w:w="18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30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85" w:hRule="atLeast"/>
        </w:trPr>
        <w:tc>
          <w:tcPr>
            <w:tcW w:w="18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Then</w:t>
            </w:r>
          </w:p>
        </w:tc>
        <w:tc>
          <w:tcPr>
            <w:tcW w:w="30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285" w:hRule="atLeast"/>
        </w:trPr>
        <w:tc>
          <w:tcPr>
            <w:tcW w:w="18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0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285" w:hRule="atLeast"/>
        </w:trPr>
        <w:tc>
          <w:tcPr>
            <w:tcW w:w="18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0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Business Account</w:t>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which left the account must be replenished from a provision for profit and loss account</w:t>
            </w:r>
          </w:p>
        </w:tc>
      </w:tr>
      <w:tr>
        <w:trPr>
          <w:trHeight w:val="285" w:hRule="atLeast"/>
        </w:trPr>
        <w:tc>
          <w:tcPr>
            <w:tcW w:w="18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0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Provision for Profit and Loss Account</w:t>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which left the business account must be provided for in a provision for profit and loss account</w:t>
            </w:r>
          </w:p>
        </w:tc>
      </w:tr>
    </w:tbl>
    <w:p>
      <w:pPr>
        <w:sectPr>
          <w:headerReference w:type="default" r:id="rId25"/>
          <w:footerReference w:type="default" r:id="rId26"/>
          <w:type w:val="nextPage"/>
          <w:pgSz w:w="11906" w:h="16838"/>
          <w:pgMar w:left="1418" w:right="1418" w:header="302" w:top="359" w:footer="357" w:bottom="567" w:gutter="0"/>
          <w:pgNumType w:fmt="decimal"/>
          <w:formProt w:val="false"/>
          <w:textDirection w:val="lrTb"/>
          <w:docGrid w:type="default" w:linePitch="299" w:charSpace="4294965247"/>
        </w:sectPr>
        <w:pStyle w:val="Normal"/>
        <w:spacing w:lineRule="auto" w:line="240" w:before="0" w:after="0"/>
        <w:jc w:val="left"/>
        <w:rPr>
          <w:b/>
          <w:b/>
          <w:bCs/>
        </w:rPr>
      </w:pPr>
      <w:r>
        <w:rPr>
          <w:b/>
          <w:bCs/>
        </w:rPr>
      </w:r>
    </w:p>
    <w:p>
      <w:pPr>
        <w:pStyle w:val="Normal"/>
        <w:spacing w:lineRule="auto" w:line="240" w:before="0" w:after="0"/>
        <w:jc w:val="left"/>
        <w:rPr>
          <w:b/>
          <w:b/>
          <w:bCs/>
        </w:rPr>
      </w:pPr>
      <w:r>
        <w:rPr>
          <w:b/>
          <w:bCs/>
        </w:rPr>
      </w:r>
    </w:p>
    <w:p>
      <w:pPr>
        <w:pStyle w:val="Normal"/>
        <w:spacing w:lineRule="auto" w:line="240" w:before="0" w:after="0"/>
        <w:jc w:val="left"/>
        <w:rPr/>
      </w:pPr>
      <w:r>
        <w:rPr/>
        <w:object>
          <v:shape id="ole_rId27" style="width:751.3pt;height:337.45pt" o:ole="">
            <v:imagedata r:id="rId28" o:title=""/>
          </v:shape>
          <o:OLEObject Type="Embed" ProgID="Visio.Drawing.15" ShapeID="ole_rId27" DrawAspect="Content" ObjectID="_664234134" r:id="rId27"/>
        </w:object>
      </w:r>
    </w:p>
    <w:p>
      <w:pPr>
        <w:sectPr>
          <w:headerReference w:type="default" r:id="rId29"/>
          <w:footerReference w:type="default" r:id="rId30"/>
          <w:type w:val="nextPage"/>
          <w:pgSz w:orient="landscape" w:w="16838" w:h="11906"/>
          <w:pgMar w:left="562" w:right="274" w:header="302" w:top="1411" w:footer="360" w:bottom="1411" w:gutter="0"/>
          <w:pgNumType w:fmt="decimal"/>
          <w:formProt w:val="false"/>
          <w:textDirection w:val="lrTb"/>
          <w:docGrid w:type="default" w:linePitch="299" w:charSpace="4294965247"/>
        </w:sectPr>
        <w:pStyle w:val="Normal"/>
        <w:spacing w:lineRule="auto" w:line="240" w:before="0" w:after="0"/>
        <w:jc w:val="left"/>
        <w:rPr>
          <w:b/>
          <w:b/>
          <w:bCs/>
        </w:rPr>
      </w:pPr>
      <w:r>
        <w:rPr>
          <w:b/>
          <w:bCs/>
        </w:rPr>
      </w:r>
    </w:p>
    <w:p>
      <w:pPr>
        <w:pStyle w:val="Heading2"/>
        <w:ind w:left="0" w:hanging="0"/>
        <w:rPr>
          <w:lang w:val="en-US"/>
        </w:rPr>
      </w:pPr>
      <w:bookmarkStart w:id="22" w:name="_Toc440981667"/>
      <w:bookmarkEnd w:id="22"/>
      <w:r>
        <w:rPr>
          <w:lang w:val="en-US"/>
        </w:rPr>
        <w:t>Unidentified</w:t>
      </w:r>
    </w:p>
    <w:tbl>
      <w:tblPr>
        <w:tblW w:w="9324"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1888"/>
        <w:gridCol w:w="3187"/>
        <w:gridCol w:w="4249"/>
      </w:tblGrid>
      <w:tr>
        <w:trPr>
          <w:trHeight w:val="270" w:hRule="atLeast"/>
        </w:trPr>
        <w:tc>
          <w:tcPr>
            <w:tcW w:w="9324"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Unidentified funds refer to funds received by the PDA where the identity of the consumer is unknown and the funds cannot be linked to a consumer’s debt rearrangement plan therefore cannot be distributed.</w:t>
            </w:r>
          </w:p>
        </w:tc>
      </w:tr>
      <w:tr>
        <w:trPr>
          <w:trHeight w:val="643" w:hRule="exact"/>
        </w:trPr>
        <w:tc>
          <w:tcPr>
            <w:tcW w:w="9324"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4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Unidentifieds</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unidentified amount is transferred to the Unidentifieds from the bank account</w:t>
            </w:r>
          </w:p>
        </w:tc>
      </w:tr>
      <w:tr>
        <w:trPr>
          <w:trHeight w:val="55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Bank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is moved from the bank account to the Unidentifieds</w:t>
            </w:r>
          </w:p>
        </w:tc>
      </w:tr>
    </w:tbl>
    <w:p>
      <w:pPr>
        <w:pStyle w:val="Normal"/>
        <w:rPr/>
      </w:pPr>
      <w:r>
        <w:rPr/>
      </w:r>
    </w:p>
    <w:p>
      <w:pPr>
        <w:sectPr>
          <w:headerReference w:type="default" r:id="rId33"/>
          <w:footerReference w:type="default" r:id="rId34"/>
          <w:type w:val="nextPage"/>
          <w:pgSz w:w="11906" w:h="16838"/>
          <w:pgMar w:left="1418" w:right="1418" w:header="302" w:top="359" w:footer="357" w:bottom="567" w:gutter="0"/>
          <w:pgNumType w:fmt="decimal"/>
          <w:formProt w:val="false"/>
          <w:textDirection w:val="lrTb"/>
          <w:docGrid w:type="default" w:linePitch="299" w:charSpace="4294965247"/>
        </w:sectPr>
        <w:pStyle w:val="Normal"/>
        <w:rPr>
          <w:b/>
          <w:b/>
          <w:bCs/>
        </w:rPr>
      </w:pPr>
      <w:r>
        <w:rPr/>
        <w:object>
          <v:shape id="ole_rId31" style="width:778.25pt;height:306.8pt" o:ole="">
            <v:imagedata r:id="rId32" o:title=""/>
          </v:shape>
          <o:OLEObject Type="Embed" ProgID="Visio.Drawing.15" ShapeID="ole_rId31" DrawAspect="Content" ObjectID="_1853867813" r:id="rId31"/>
        </w:object>
      </w:r>
    </w:p>
    <w:p>
      <w:pPr>
        <w:pStyle w:val="Heading2"/>
        <w:ind w:left="0" w:hanging="0"/>
        <w:rPr>
          <w:lang w:val="en-US"/>
        </w:rPr>
      </w:pPr>
      <w:bookmarkStart w:id="23" w:name="_Toc440981668"/>
      <w:bookmarkEnd w:id="23"/>
      <w:r>
        <w:rPr>
          <w:lang w:val="en-US"/>
        </w:rPr>
        <w:t>Suspended Funds</w:t>
      </w:r>
    </w:p>
    <w:tbl>
      <w:tblPr>
        <w:tblW w:w="8786"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1779"/>
        <w:gridCol w:w="3004"/>
        <w:gridCol w:w="4003"/>
      </w:tblGrid>
      <w:tr>
        <w:trPr>
          <w:trHeight w:val="276" w:hRule="atLeast"/>
        </w:trPr>
        <w:tc>
          <w:tcPr>
            <w:tcW w:w="8786"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Suspension of DC funds: When an instruction is received to withhold funds payable to a debt counsellor.</w:t>
              <w:br/>
              <w:t>Suspended Funds – funds where the consumer is known but distribution cannot take place because these transactions do not meet certain payment criteria due to reference and/or date format issues and/or debt counsellors have requested suspension of payments due to corrections to debt re-arrangement plans, changes in amounts and/or issues with consumers</w:t>
            </w:r>
          </w:p>
        </w:tc>
      </w:tr>
      <w:tr>
        <w:trPr>
          <w:trHeight w:val="1424" w:hRule="exact"/>
        </w:trPr>
        <w:tc>
          <w:tcPr>
            <w:tcW w:w="8786"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6" w:hRule="atLeast"/>
        </w:trPr>
        <w:tc>
          <w:tcPr>
            <w:tcW w:w="17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0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0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52" w:hRule="atLeast"/>
        </w:trPr>
        <w:tc>
          <w:tcPr>
            <w:tcW w:w="17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0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Consumer Clearing Account</w:t>
            </w:r>
          </w:p>
        </w:tc>
        <w:tc>
          <w:tcPr>
            <w:tcW w:w="40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Consumer Clearing Account must be debited by the deposited amount</w:t>
            </w:r>
          </w:p>
        </w:tc>
      </w:tr>
      <w:tr>
        <w:trPr>
          <w:trHeight w:val="552" w:hRule="atLeast"/>
        </w:trPr>
        <w:tc>
          <w:tcPr>
            <w:tcW w:w="17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0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Bank Account</w:t>
            </w:r>
          </w:p>
        </w:tc>
        <w:tc>
          <w:tcPr>
            <w:tcW w:w="40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is moved from the NPDA bank account to the Consumer Clearing account</w:t>
            </w:r>
          </w:p>
        </w:tc>
      </w:tr>
      <w:tr>
        <w:trPr>
          <w:trHeight w:val="276" w:hRule="atLeast"/>
        </w:trPr>
        <w:tc>
          <w:tcPr>
            <w:tcW w:w="17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c>
          <w:tcPr>
            <w:tcW w:w="30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40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276" w:hRule="atLeast"/>
        </w:trPr>
        <w:tc>
          <w:tcPr>
            <w:tcW w:w="17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Then</w:t>
            </w:r>
          </w:p>
        </w:tc>
        <w:tc>
          <w:tcPr>
            <w:tcW w:w="30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40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276" w:hRule="atLeast"/>
        </w:trPr>
        <w:tc>
          <w:tcPr>
            <w:tcW w:w="17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0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0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276" w:hRule="atLeast"/>
        </w:trPr>
        <w:tc>
          <w:tcPr>
            <w:tcW w:w="17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0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Suspended Funds Account</w:t>
            </w:r>
          </w:p>
        </w:tc>
        <w:tc>
          <w:tcPr>
            <w:tcW w:w="40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suspended funds account is debited with the suspended amount</w:t>
            </w:r>
          </w:p>
        </w:tc>
      </w:tr>
      <w:tr>
        <w:trPr>
          <w:trHeight w:val="567" w:hRule="atLeast"/>
        </w:trPr>
        <w:tc>
          <w:tcPr>
            <w:tcW w:w="17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0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Consumer Clearing Account</w:t>
            </w:r>
          </w:p>
        </w:tc>
        <w:tc>
          <w:tcPr>
            <w:tcW w:w="40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consumer clearing account is credited with the suspended amount.</w:t>
            </w:r>
          </w:p>
        </w:tc>
      </w:tr>
    </w:tbl>
    <w:p>
      <w:pPr>
        <w:pStyle w:val="Normal"/>
        <w:rPr/>
      </w:pPr>
      <w:r>
        <w:rPr/>
      </w:r>
    </w:p>
    <w:p>
      <w:pPr>
        <w:pStyle w:val="Normal"/>
        <w:rPr/>
      </w:pPr>
      <w:r>
        <w:rPr/>
        <w:object>
          <v:shape id="ole_rId35" style="width:770.1pt;height:251.05pt" o:ole="">
            <v:imagedata r:id="rId36" o:title=""/>
          </v:shape>
          <o:OLEObject Type="Embed" ProgID="Visio.Drawing.15" ShapeID="ole_rId35" DrawAspect="Content" ObjectID="_906511108" r:id="rId35"/>
        </w:object>
      </w:r>
    </w:p>
    <w:p>
      <w:pPr>
        <w:sectPr>
          <w:headerReference w:type="default" r:id="rId37"/>
          <w:footerReference w:type="default" r:id="rId38"/>
          <w:type w:val="nextPage"/>
          <w:pgSz w:w="11906" w:h="16838"/>
          <w:pgMar w:left="1418" w:right="1418" w:header="302" w:top="359" w:footer="357" w:bottom="567" w:gutter="0"/>
          <w:pgNumType w:fmt="decimal"/>
          <w:formProt w:val="false"/>
          <w:textDirection w:val="lrTb"/>
          <w:docGrid w:type="default" w:linePitch="299" w:charSpace="4294965247"/>
        </w:sectPr>
        <w:pStyle w:val="Normal"/>
        <w:rPr/>
      </w:pPr>
      <w:r>
        <w:rPr/>
      </w:r>
    </w:p>
    <w:p>
      <w:pPr>
        <w:pStyle w:val="Heading2"/>
        <w:ind w:left="0" w:hanging="0"/>
        <w:rPr>
          <w:lang w:val="en-US"/>
        </w:rPr>
      </w:pPr>
      <w:bookmarkStart w:id="24" w:name="_Toc440981669"/>
      <w:bookmarkEnd w:id="24"/>
      <w:r>
        <w:rPr>
          <w:lang w:val="en-US"/>
        </w:rPr>
        <w:t>Funds Awaiting Distribution</w:t>
      </w:r>
    </w:p>
    <w:tbl>
      <w:tblPr>
        <w:tblW w:w="9352"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1962"/>
        <w:gridCol w:w="3104"/>
        <w:gridCol w:w="4286"/>
      </w:tblGrid>
      <w:tr>
        <w:trPr>
          <w:trHeight w:val="270" w:hRule="atLeast"/>
        </w:trPr>
        <w:tc>
          <w:tcPr>
            <w:tcW w:w="9352"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Funds awaiting distribution – Funds that can be linked to a consumer’s debt rearrangement plan, are correctly referenced according to the PDA’s pre-distribution verification processes and are awaiting distribution, excluding failed distributions.</w:t>
              <w:br/>
              <w:t>Include all NDFR sub categories.</w:t>
            </w:r>
          </w:p>
        </w:tc>
      </w:tr>
      <w:tr>
        <w:trPr>
          <w:trHeight w:val="1030" w:hRule="exact"/>
        </w:trPr>
        <w:tc>
          <w:tcPr>
            <w:tcW w:w="9352"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0" w:hRule="atLeast"/>
        </w:trPr>
        <w:tc>
          <w:tcPr>
            <w:tcW w:w="19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40" w:hRule="atLeast"/>
        </w:trPr>
        <w:tc>
          <w:tcPr>
            <w:tcW w:w="19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Payment Clearing Account</w:t>
            </w:r>
          </w:p>
        </w:tc>
        <w:tc>
          <w:tcPr>
            <w:tcW w:w="42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Funds will be transferred to the Payment Clearing Account to await distribution to creditors.</w:t>
            </w:r>
          </w:p>
        </w:tc>
      </w:tr>
      <w:tr>
        <w:trPr>
          <w:trHeight w:val="825" w:hRule="atLeast"/>
        </w:trPr>
        <w:tc>
          <w:tcPr>
            <w:tcW w:w="19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Bank Account</w:t>
            </w:r>
          </w:p>
        </w:tc>
        <w:tc>
          <w:tcPr>
            <w:tcW w:w="42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funds which will be part of distribution to credit providers must be moved to payment clearing account to await distribution</w:t>
            </w:r>
          </w:p>
        </w:tc>
      </w:tr>
    </w:tbl>
    <w:p>
      <w:pPr>
        <w:pStyle w:val="Normal"/>
        <w:spacing w:lineRule="auto" w:line="240" w:before="0" w:after="0"/>
        <w:jc w:val="left"/>
        <w:rPr>
          <w:b/>
          <w:b/>
          <w:bCs/>
        </w:rPr>
      </w:pPr>
      <w:r>
        <w:rPr>
          <w:b/>
          <w:bCs/>
        </w:rPr>
      </w:r>
    </w:p>
    <w:p>
      <w:pPr>
        <w:pStyle w:val="Normal"/>
        <w:spacing w:lineRule="auto" w:line="240" w:before="0" w:after="0"/>
        <w:jc w:val="left"/>
        <w:rPr>
          <w:b/>
          <w:b/>
          <w:bCs/>
        </w:rPr>
      </w:pPr>
      <w:r>
        <w:rPr>
          <w:b/>
          <w:bCs/>
        </w:rPr>
      </w:r>
    </w:p>
    <w:p>
      <w:pPr>
        <w:pStyle w:val="Normal"/>
        <w:spacing w:lineRule="auto" w:line="240" w:before="0" w:after="0"/>
        <w:jc w:val="left"/>
        <w:rPr>
          <w:b/>
          <w:b/>
          <w:bCs/>
        </w:rPr>
      </w:pPr>
      <w:r>
        <w:rPr>
          <w:b/>
          <w:bCs/>
        </w:rPr>
      </w:r>
    </w:p>
    <w:p>
      <w:pPr>
        <w:sectPr>
          <w:headerReference w:type="default" r:id="rId41"/>
          <w:footerReference w:type="default" r:id="rId42"/>
          <w:type w:val="nextPage"/>
          <w:pgSz w:w="11906" w:h="16838"/>
          <w:pgMar w:left="1411" w:right="1411" w:header="302" w:top="359" w:footer="360" w:bottom="562" w:gutter="0"/>
          <w:pgNumType w:fmt="decimal"/>
          <w:formProt w:val="false"/>
          <w:textDirection w:val="lrTb"/>
          <w:docGrid w:type="default" w:linePitch="299" w:charSpace="4294965247"/>
        </w:sectPr>
        <w:pStyle w:val="Normal"/>
        <w:spacing w:lineRule="auto" w:line="240" w:before="0" w:after="0"/>
        <w:jc w:val="left"/>
        <w:rPr>
          <w:b/>
          <w:b/>
          <w:bCs/>
        </w:rPr>
      </w:pPr>
      <w:r>
        <w:rPr/>
        <w:object>
          <v:shape id="ole_rId39" style="width:748.15pt;height:330.55pt" o:ole="">
            <v:imagedata r:id="rId40" o:title=""/>
          </v:shape>
          <o:OLEObject Type="Embed" ProgID="Visio.Drawing.15" ShapeID="ole_rId39" DrawAspect="Content" ObjectID="_385968082" r:id="rId39"/>
        </w:object>
      </w:r>
    </w:p>
    <w:p>
      <w:pPr>
        <w:pStyle w:val="Normal"/>
        <w:rPr>
          <w:b/>
          <w:b/>
          <w:bCs/>
        </w:rPr>
      </w:pPr>
      <w:r>
        <w:rPr>
          <w:b/>
          <w:bCs/>
        </w:rPr>
      </w:r>
    </w:p>
    <w:p>
      <w:pPr>
        <w:pStyle w:val="Heading2"/>
        <w:ind w:left="0" w:hanging="0"/>
        <w:rPr>
          <w:lang w:val="en-US"/>
        </w:rPr>
      </w:pPr>
      <w:bookmarkStart w:id="25" w:name="_Toc440981670"/>
      <w:bookmarkEnd w:id="25"/>
      <w:r>
        <w:rPr>
          <w:lang w:val="en-US"/>
        </w:rPr>
        <w:t>Funds De-Allocation</w:t>
      </w:r>
    </w:p>
    <w:tbl>
      <w:tblPr>
        <w:tblW w:w="9324"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1888"/>
        <w:gridCol w:w="3187"/>
        <w:gridCol w:w="4249"/>
      </w:tblGrid>
      <w:tr>
        <w:trPr>
          <w:trHeight w:val="270" w:hRule="atLeast"/>
        </w:trPr>
        <w:tc>
          <w:tcPr>
            <w:tcW w:w="9324"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De-allocation: De-allocation is the un-reconciling of funds that have been previously reconciled, but has not yet been distributed.</w:t>
            </w:r>
          </w:p>
        </w:tc>
      </w:tr>
      <w:tr>
        <w:trPr>
          <w:trHeight w:val="518" w:hRule="exact"/>
        </w:trPr>
        <w:tc>
          <w:tcPr>
            <w:tcW w:w="9324"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4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Unidentified Funds Account / Unidentifieds</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Unidentified Funds Account / Unidentifieds is debited which shows increase is the unidentified funds.</w:t>
            </w:r>
          </w:p>
        </w:tc>
      </w:tr>
      <w:tr>
        <w:trPr>
          <w:trHeight w:val="55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Consumer Clearing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is moved from the Consumer Clearing Account to Unidentifieds.</w:t>
            </w:r>
          </w:p>
        </w:tc>
      </w:tr>
    </w:tbl>
    <w:p>
      <w:pPr>
        <w:pStyle w:val="Normal"/>
        <w:rPr>
          <w:b/>
          <w:b/>
          <w:bCs/>
        </w:rPr>
      </w:pPr>
      <w:r>
        <w:rPr>
          <w:b/>
          <w:bCs/>
        </w:rPr>
      </w:r>
    </w:p>
    <w:p>
      <w:pPr>
        <w:sectPr>
          <w:headerReference w:type="default" r:id="rId45"/>
          <w:footerReference w:type="default" r:id="rId46"/>
          <w:type w:val="nextPage"/>
          <w:pgSz w:w="11906" w:h="16838"/>
          <w:pgMar w:left="1418" w:right="1418" w:header="302" w:top="359" w:footer="357" w:bottom="567" w:gutter="0"/>
          <w:pgNumType w:fmt="decimal"/>
          <w:formProt w:val="false"/>
          <w:textDirection w:val="lrTb"/>
          <w:docGrid w:type="default" w:linePitch="299" w:charSpace="4294965247"/>
        </w:sectPr>
        <w:pStyle w:val="Normal"/>
        <w:rPr>
          <w:b/>
          <w:b/>
          <w:bCs/>
        </w:rPr>
      </w:pPr>
      <w:r>
        <w:rPr/>
        <w:object>
          <v:shape id="ole_rId43" style="width:773.2pt;height:252.95pt" o:ole="">
            <v:imagedata r:id="rId44" o:title=""/>
          </v:shape>
          <o:OLEObject Type="Embed" ProgID="Visio.Drawing.15" ShapeID="ole_rId43" DrawAspect="Content" ObjectID="_461881652" r:id="rId43"/>
        </w:object>
      </w:r>
    </w:p>
    <w:p>
      <w:pPr>
        <w:pStyle w:val="Heading2"/>
        <w:ind w:left="0" w:hanging="0"/>
        <w:rPr>
          <w:lang w:val="en-US"/>
        </w:rPr>
      </w:pPr>
      <w:bookmarkStart w:id="26" w:name="_Toc440981671"/>
      <w:bookmarkEnd w:id="26"/>
      <w:r>
        <w:rPr>
          <w:lang w:val="en-US"/>
        </w:rPr>
        <w:t>Double payments</w:t>
      </w:r>
    </w:p>
    <w:tbl>
      <w:tblPr>
        <w:tblW w:w="9324"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1888"/>
        <w:gridCol w:w="3187"/>
        <w:gridCol w:w="4249"/>
      </w:tblGrid>
      <w:tr>
        <w:trPr>
          <w:trHeight w:val="270" w:hRule="atLeast"/>
        </w:trPr>
        <w:tc>
          <w:tcPr>
            <w:tcW w:w="9324"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xml:space="preserve">Double payment file processing (Internal system errors); This is where a payment run has been uploaded and distributed more than one time. </w:t>
            </w:r>
          </w:p>
        </w:tc>
      </w:tr>
      <w:tr>
        <w:trPr>
          <w:trHeight w:val="518" w:hRule="exact"/>
        </w:trPr>
        <w:tc>
          <w:tcPr>
            <w:tcW w:w="9324"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Bank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must be reinstated into this account</w:t>
            </w:r>
          </w:p>
        </w:tc>
      </w:tr>
      <w:tr>
        <w:trPr>
          <w:trHeight w:val="55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Business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which left the account must be replenished from a business account</w:t>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i/>
                <w:i/>
                <w:iCs/>
                <w:color w:val="000000"/>
                <w:sz w:val="20"/>
                <w:szCs w:val="20"/>
                <w:lang w:val="en-US"/>
              </w:rPr>
            </w:pPr>
            <w:r>
              <w:rPr>
                <w:rFonts w:cs="Times New Roman"/>
                <w:b/>
                <w:bCs/>
                <w:i/>
                <w:iCs/>
                <w:color w:val="000000"/>
                <w:sz w:val="20"/>
                <w:szCs w:val="20"/>
                <w:lang w:val="en-US"/>
              </w:rPr>
              <w:t>Then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i/>
                <w:i/>
                <w:iCs/>
                <w:color w:val="000000"/>
                <w:sz w:val="20"/>
                <w:szCs w:val="20"/>
                <w:lang w:val="en-US"/>
              </w:rPr>
            </w:pPr>
            <w:r>
              <w:rPr>
                <w:rFonts w:cs="Times New Roman"/>
                <w:b/>
                <w:bCs/>
                <w:i/>
                <w:iCs/>
                <w:color w:val="000000"/>
                <w:sz w:val="20"/>
                <w:szCs w:val="20"/>
                <w:lang w:val="en-US"/>
              </w:rPr>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4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Business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which left the business account must be replenished by Consumer Clearing Account</w:t>
            </w:r>
          </w:p>
        </w:tc>
      </w:tr>
      <w:tr>
        <w:trPr>
          <w:trHeight w:val="55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Provision for Profit and Loss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which left the business account must be provided for in a provision for profit and loss account</w:t>
            </w:r>
          </w:p>
        </w:tc>
      </w:tr>
      <w:tr>
        <w:trPr>
          <w:trHeight w:val="8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8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i/>
                <w:iCs/>
                <w:color w:val="000000"/>
                <w:sz w:val="20"/>
                <w:szCs w:val="20"/>
                <w:lang w:val="en-US"/>
              </w:rPr>
              <w:t>Then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r>
          </w:p>
        </w:tc>
      </w:tr>
      <w:tr>
        <w:trPr>
          <w:trHeight w:val="8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5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Customer Clearing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customer clearing account must be debited with the double payment amount made on their behalf</w:t>
            </w:r>
          </w:p>
        </w:tc>
      </w:tr>
      <w:tr>
        <w:trPr>
          <w:trHeight w:val="712"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Creditor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creditor account must be credited to show that double payment they received.</w:t>
            </w:r>
          </w:p>
        </w:tc>
      </w:tr>
    </w:tbl>
    <w:p>
      <w:pPr>
        <w:sectPr>
          <w:headerReference w:type="default" r:id="rId49"/>
          <w:footerReference w:type="default" r:id="rId50"/>
          <w:type w:val="nextPage"/>
          <w:pgSz w:w="11906" w:h="16838"/>
          <w:pgMar w:left="1418" w:right="1418" w:header="302" w:top="359" w:footer="357" w:bottom="567" w:gutter="0"/>
          <w:pgNumType w:fmt="decimal"/>
          <w:formProt w:val="false"/>
          <w:textDirection w:val="lrTb"/>
          <w:docGrid w:type="default" w:linePitch="299" w:charSpace="4294965247"/>
        </w:sectPr>
        <w:pStyle w:val="Normal"/>
        <w:spacing w:lineRule="auto" w:line="240" w:before="0" w:after="0"/>
        <w:jc w:val="center"/>
        <w:rPr>
          <w:b/>
          <w:b/>
          <w:bCs/>
        </w:rPr>
      </w:pPr>
      <w:r>
        <w:rPr/>
        <w:object>
          <v:shape id="ole_rId47" style="width:736.3pt;height:413.85pt" o:ole="">
            <v:imagedata r:id="rId48" o:title=""/>
          </v:shape>
          <o:OLEObject Type="Embed" ProgID="Visio.Drawing.15" ShapeID="ole_rId47" DrawAspect="Content" ObjectID="_2045374542" r:id="rId47"/>
        </w:object>
      </w:r>
    </w:p>
    <w:p>
      <w:pPr>
        <w:pStyle w:val="Heading2"/>
        <w:ind w:left="0" w:hanging="0"/>
        <w:rPr>
          <w:lang w:val="en-US"/>
        </w:rPr>
      </w:pPr>
      <w:bookmarkStart w:id="27" w:name="_Toc440981672"/>
      <w:bookmarkEnd w:id="27"/>
      <w:r>
        <w:rPr>
          <w:lang w:val="en-US"/>
        </w:rPr>
        <w:t>Bank Return</w:t>
      </w:r>
    </w:p>
    <w:tbl>
      <w:tblPr>
        <w:tblW w:w="9324"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1888"/>
        <w:gridCol w:w="3187"/>
        <w:gridCol w:w="4249"/>
      </w:tblGrid>
      <w:tr>
        <w:trPr>
          <w:trHeight w:val="270" w:hRule="atLeast"/>
        </w:trPr>
        <w:tc>
          <w:tcPr>
            <w:tcW w:w="9324"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Returns: On distribution there are validation from the receiving bank. Should either the bank account or reference numbers not pass the validation the payment will enter the bank account and be rejected or returned immediately back to the origin account. These funds remain in the NPDA bank account and require re-processing in order to distribute.</w:t>
            </w:r>
          </w:p>
        </w:tc>
      </w:tr>
      <w:tr>
        <w:trPr>
          <w:trHeight w:val="1093" w:hRule="exact"/>
        </w:trPr>
        <w:tc>
          <w:tcPr>
            <w:tcW w:w="9324"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Suspended Funds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returned amount must be  transferred to be part of suspended funds</w:t>
            </w:r>
          </w:p>
        </w:tc>
      </w:tr>
      <w:tr>
        <w:trPr>
          <w:trHeight w:val="55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Payment Clearing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must be part of suspended funds until the matter is resolved.</w:t>
            </w:r>
          </w:p>
        </w:tc>
      </w:tr>
    </w:tbl>
    <w:p>
      <w:pPr>
        <w:pStyle w:val="Normal"/>
        <w:rPr>
          <w:b/>
          <w:b/>
          <w:bCs/>
        </w:rPr>
      </w:pPr>
      <w:r>
        <w:rPr>
          <w:b/>
          <w:bCs/>
        </w:rPr>
      </w:r>
    </w:p>
    <w:p>
      <w:pPr>
        <w:pStyle w:val="Normal"/>
        <w:rPr>
          <w:b/>
          <w:b/>
          <w:bCs/>
        </w:rPr>
      </w:pPr>
      <w:r>
        <w:rPr/>
        <w:object>
          <v:shape id="ole_rId51" style="width:776.35pt;height:289.9pt" o:ole="">
            <v:imagedata r:id="rId52" o:title=""/>
          </v:shape>
          <o:OLEObject Type="Embed" ProgID="Visio.Drawing.15" ShapeID="ole_rId51" DrawAspect="Content" ObjectID="_190863149" r:id="rId51"/>
        </w:object>
      </w:r>
    </w:p>
    <w:p>
      <w:pPr>
        <w:pStyle w:val="Normal"/>
        <w:rPr/>
      </w:pPr>
      <w:r>
        <w:rPr/>
      </w:r>
    </w:p>
    <w:sectPr>
      <w:headerReference w:type="default" r:id="rId53"/>
      <w:footerReference w:type="default" r:id="rId54"/>
      <w:type w:val="nextPage"/>
      <w:pgSz w:w="11906" w:h="16838"/>
      <w:pgMar w:left="1418" w:right="1418" w:header="302" w:top="359" w:footer="357" w:bottom="567" w:gutter="0"/>
      <w:pgNumType w:fmt="decimal"/>
      <w:formProt w:val="false"/>
      <w:textDirection w:val="lrTb"/>
      <w:docGrid w:type="default" w:linePitch="299"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entury Gothic">
    <w:charset w:val="01"/>
    <w:family w:val="roman"/>
    <w:pitch w:val="variable"/>
  </w:font>
  <w:font w:name="Times New Roman">
    <w:charset w:val="01"/>
    <w:family w:val="swiss"/>
    <w:pitch w:val="variable"/>
  </w:font>
  <w:font w:name="Calibri">
    <w:charset w:val="01"/>
    <w:family w:val="roman"/>
    <w:pitch w:val="variable"/>
  </w:font>
  <w:font w:name="Cambria">
    <w:charset w:val="01"/>
    <w:family w:val="roman"/>
    <w:pitch w:val="variable"/>
  </w:font>
  <w:font w:name="Liberation Sans">
    <w:altName w:val="Arial"/>
    <w:charset w:val="01"/>
    <w:family w:val="roman"/>
    <w:pitch w:val="variable"/>
  </w:font>
  <w:font w:name="Arial">
    <w:charset w:val="01"/>
    <w:family w:val="roman"/>
    <w:pitch w:val="variable"/>
  </w:font>
  <w:font w:name="Tahoma">
    <w:charset w:val="01"/>
    <w:family w:val="roman"/>
    <w:pitch w:val="variable"/>
  </w:font>
  <w:font w:name="Courier New">
    <w:charset w:val="01"/>
    <w:family w:val="roman"/>
    <w:pitch w:val="variable"/>
  </w:font>
  <w:font w:name="Helv">
    <w:altName w:val="Arial"/>
    <w:charset w:val="01"/>
    <w:family w:val="roman"/>
    <w:pitch w:val="variable"/>
  </w:font>
  <w:font w:name="Helv">
    <w:altName w:val="Arial"/>
    <w:charset w:val="01"/>
    <w:family w:val="swiss"/>
    <w:pitch w:val="variable"/>
  </w:font>
  <w:font w:name="Cambria">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17</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18</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20</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22</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24</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26</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28</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tab/>
      <w:t xml:space="preserve">Page </w:t>
    </w:r>
    <w:r>
      <w:rPr>
        <w:sz w:val="14"/>
        <w:szCs w:val="14"/>
      </w:rPr>
      <w:fldChar w:fldCharType="begin"/>
    </w:r>
    <w:r>
      <w:instrText> PAGE </w:instrText>
    </w:r>
    <w:r>
      <w:fldChar w:fldCharType="separate"/>
    </w:r>
    <w:r>
      <w:t>7</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5</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8</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10</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12</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14</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16</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40" w:after="0"/>
      <w:jc w:val="right"/>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0" w:hanging="0"/>
      </w:pPr>
    </w:lvl>
    <w:lvl w:ilvl="1">
      <w:start w:val="1"/>
      <w:numFmt w:val="upperRoman"/>
      <w:lvlText w:val="%2."/>
      <w:lvlJc w:val="right"/>
      <w:pPr>
        <w:ind w:left="0" w:hanging="0"/>
      </w:pPr>
    </w:lvl>
    <w:lvl w:ilvl="2">
      <w:start w:val="1"/>
      <w:numFmt w:val="decimal"/>
      <w:lvlText w:val="%1.%2.%3"/>
      <w:lvlJc w:val="left"/>
      <w:pPr>
        <w:ind w:left="0" w:hanging="0"/>
      </w:pPr>
    </w:lvl>
    <w:lvl w:ilvl="3">
      <w:start w:val="1"/>
      <w:numFmt w:val="decimal"/>
      <w:lvlText w:val="%1.%2.%3.%4"/>
      <w:lvlJc w:val="left"/>
      <w:pPr>
        <w:ind w:left="0" w:hanging="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2">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60"/>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ZA"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ZA" w:eastAsia="en-ZA" w:bidi="ar-SA"/>
      </w:rPr>
    </w:rPrDefault>
    <w:pPrDefault>
      <w:pPr/>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uiPriority="39" w:semiHidden="1" w:unhideWhenUsed="1"/>
    <w:lsdException w:name="toc 2" w:locked="1" w:uiPriority="39" w:semiHidden="1" w:unhideWhenUsed="1"/>
    <w:lsdException w:name="toc 3" w:locked="1" w:uiPriority="39" w:semiHidden="1" w:unhideWhenUsed="1"/>
    <w:lsdException w:name="toc 4" w:locked="1" w:uiPriority="39" w:semiHidden="1" w:unhideWhenUsed="1"/>
    <w:lsdException w:name="toc 5" w:locked="1" w:uiPriority="39" w:semiHidden="1" w:unhideWhenUsed="1"/>
    <w:lsdException w:name="toc 6" w:locked="1" w:uiPriority="39" w:semiHidden="1" w:unhideWhenUsed="1"/>
    <w:lsdException w:name="toc 7" w:locked="1" w:uiPriority="39" w:semiHidden="1" w:unhideWhenUsed="1"/>
    <w:lsdException w:name="toc 8" w:locked="1" w:uiPriority="39" w:semiHidden="1" w:unhideWhenUsed="1"/>
    <w:lsdException w:name="toc 9" w:locked="1" w:uiPriority="3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0" w:qFormat="1"/>
    <w:lsdException w:name="Closing" w:locked="1" w:semiHidden="1" w:unhideWhenUsed="1"/>
    <w:lsdException w:name="Signature" w:locked="1" w:semiHidden="1" w:unhideWhenUsed="1"/>
    <w:lsdException w:name="Default Paragraph Font" w:locked="1" w:uiPriority="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locked="1"/>
    <w:lsdException w:name="Plain Table 2" w:locked="1"/>
    <w:lsdException w:name="Plain Table 3" w:locked="1"/>
    <w:lsdException w:name="Plain Table 4" w:locked="1"/>
    <w:lsdException w:name="Plain Table 5" w:locked="1"/>
    <w:lsdException w:name="Grid Table Light" w:locked="1"/>
    <w:lsdException w:name="Grid Table 1 Light" w:locked="1"/>
    <w:lsdException w:name="Grid Table 2" w:locked="1"/>
    <w:lsdException w:name="Grid Table 3" w:lock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f6cbf"/>
    <w:pPr>
      <w:widowControl/>
      <w:suppressAutoHyphens w:val="true"/>
      <w:bidi w:val="0"/>
      <w:spacing w:lineRule="auto" w:line="360" w:before="240" w:after="0"/>
      <w:jc w:val="both"/>
    </w:pPr>
    <w:rPr>
      <w:rFonts w:ascii="Century Gothic" w:hAnsi="Century Gothic" w:eastAsia="Times New Roman" w:cs="Century Gothic"/>
      <w:color w:val="00000A"/>
      <w:sz w:val="22"/>
      <w:szCs w:val="22"/>
      <w:lang w:val="en-ZA" w:eastAsia="en-US" w:bidi="ar-SA"/>
    </w:rPr>
  </w:style>
  <w:style w:type="paragraph" w:styleId="Heading1">
    <w:name w:val="Heading 1"/>
    <w:basedOn w:val="Heading"/>
    <w:next w:val="Normal"/>
    <w:link w:val="Heading1Char"/>
    <w:qFormat/>
    <w:rsid w:val="0031409a"/>
    <w:pPr>
      <w:widowControl w:val="false"/>
      <w:pBdr>
        <w:top w:val="single" w:sz="48" w:space="1" w:color="FFFFFF"/>
        <w:left w:val="single" w:sz="6" w:space="4" w:color="FFFFFF"/>
        <w:bottom w:val="single" w:sz="6" w:space="1" w:color="FFFFFF"/>
      </w:pBdr>
      <w:tabs>
        <w:tab w:val="left" w:pos="567" w:leader="none"/>
        <w:tab w:val="left" w:pos="643" w:leader="none"/>
      </w:tabs>
      <w:suppressAutoHyphens w:val="true"/>
      <w:bidi w:val="0"/>
      <w:spacing w:before="0" w:after="200"/>
      <w:ind w:left="567" w:hanging="567"/>
      <w:jc w:val="left"/>
      <w:outlineLvl w:val="0"/>
    </w:pPr>
    <w:rPr>
      <w:rFonts w:ascii="Times New Roman" w:hAnsi="Times New Roman" w:eastAsia="Times New Roman" w:cs="Times New Roman"/>
      <w:b/>
      <w:bCs/>
      <w:color w:val="00000A"/>
      <w:sz w:val="26"/>
      <w:szCs w:val="26"/>
      <w:lang w:val="en-ZA" w:eastAsia="en-ZA" w:bidi="ar-SA"/>
    </w:rPr>
  </w:style>
  <w:style w:type="paragraph" w:styleId="Heading2">
    <w:name w:val="Heading 2"/>
    <w:basedOn w:val="Heading"/>
    <w:link w:val="Heading2Char"/>
    <w:qFormat/>
    <w:rsid w:val="0031409a"/>
    <w:pPr>
      <w:widowControl w:val="false"/>
      <w:tabs>
        <w:tab w:val="left" w:pos="643" w:leader="none"/>
      </w:tabs>
      <w:suppressAutoHyphens w:val="true"/>
      <w:bidi w:val="0"/>
      <w:ind w:left="643" w:hanging="360"/>
      <w:jc w:val="left"/>
      <w:outlineLvl w:val="1"/>
    </w:pPr>
    <w:rPr>
      <w:rFonts w:ascii="Times New Roman" w:hAnsi="Times New Roman" w:eastAsia="Times New Roman" w:cs="Times New Roman"/>
      <w:b/>
      <w:bCs/>
      <w:color w:val="00000A"/>
      <w:sz w:val="26"/>
      <w:szCs w:val="26"/>
      <w:lang w:val="en-ZA" w:eastAsia="en-ZA" w:bidi="ar-SA"/>
    </w:rPr>
  </w:style>
  <w:style w:type="paragraph" w:styleId="Heading3">
    <w:name w:val="Heading 3"/>
    <w:basedOn w:val="Heading"/>
    <w:link w:val="Heading3Char"/>
    <w:qFormat/>
    <w:rsid w:val="0031409a"/>
    <w:pPr>
      <w:widowControl w:val="false"/>
      <w:tabs>
        <w:tab w:val="left" w:pos="643" w:leader="none"/>
        <w:tab w:val="left" w:pos="1418" w:leader="none"/>
      </w:tabs>
      <w:suppressAutoHyphens w:val="true"/>
      <w:bidi w:val="0"/>
      <w:ind w:left="1418" w:hanging="284"/>
      <w:jc w:val="left"/>
      <w:outlineLvl w:val="2"/>
    </w:pPr>
    <w:rPr>
      <w:rFonts w:ascii="Times New Roman" w:hAnsi="Times New Roman" w:eastAsia="Times New Roman" w:cs="Times New Roman"/>
      <w:b/>
      <w:bCs/>
      <w:color w:val="00000A"/>
      <w:sz w:val="22"/>
      <w:szCs w:val="20"/>
      <w:lang w:val="en-ZA" w:eastAsia="en-ZA" w:bidi="ar-SA"/>
    </w:rPr>
  </w:style>
  <w:style w:type="paragraph" w:styleId="Heading4">
    <w:name w:val="Heading 4"/>
    <w:basedOn w:val="Heading"/>
    <w:link w:val="Heading4Char"/>
    <w:qFormat/>
    <w:rsid w:val="0031409a"/>
    <w:pPr>
      <w:widowControl w:val="false"/>
      <w:suppressAutoHyphens w:val="true"/>
      <w:bidi w:val="0"/>
      <w:ind w:left="1134" w:hanging="0"/>
      <w:jc w:val="left"/>
      <w:outlineLvl w:val="3"/>
    </w:pPr>
    <w:rPr>
      <w:rFonts w:ascii="Times New Roman" w:hAnsi="Times New Roman" w:eastAsia="Times New Roman" w:cs="Times New Roman"/>
      <w:b/>
      <w:bCs/>
      <w:color w:val="00000A"/>
      <w:sz w:val="22"/>
      <w:szCs w:val="20"/>
      <w:lang w:val="en-ZA" w:eastAsia="en-ZA" w:bidi="ar-SA"/>
    </w:rPr>
  </w:style>
  <w:style w:type="paragraph" w:styleId="Heading5">
    <w:name w:val="Heading 5"/>
    <w:basedOn w:val="Heading"/>
    <w:link w:val="Heading5Char"/>
    <w:qFormat/>
    <w:rsid w:val="0031409a"/>
    <w:pPr>
      <w:widowControl w:val="false"/>
      <w:suppressAutoHyphens w:val="true"/>
      <w:bidi w:val="0"/>
      <w:jc w:val="left"/>
      <w:outlineLvl w:val="4"/>
    </w:pPr>
    <w:rPr>
      <w:rFonts w:ascii="Times New Roman" w:hAnsi="Times New Roman" w:eastAsia="Times New Roman" w:cs="Times New Roman"/>
      <w:color w:val="00000A"/>
      <w:sz w:val="22"/>
      <w:szCs w:val="20"/>
      <w:lang w:val="en-ZA" w:eastAsia="en-ZA" w:bidi="ar-SA"/>
    </w:rPr>
  </w:style>
  <w:style w:type="paragraph" w:styleId="Heading6">
    <w:name w:val="Heading 6"/>
    <w:basedOn w:val="Heading"/>
    <w:link w:val="Heading6Char"/>
    <w:qFormat/>
    <w:rsid w:val="0031409a"/>
    <w:pPr>
      <w:widowControl w:val="false"/>
      <w:suppressAutoHyphens w:val="true"/>
      <w:bidi w:val="0"/>
      <w:jc w:val="left"/>
      <w:outlineLvl w:val="5"/>
    </w:pPr>
    <w:rPr>
      <w:rFonts w:ascii="Times New Roman" w:hAnsi="Times New Roman" w:eastAsia="Times New Roman" w:cs="Times New Roman"/>
      <w:color w:val="00000A"/>
      <w:sz w:val="22"/>
      <w:szCs w:val="20"/>
      <w:lang w:val="en-ZA" w:eastAsia="en-ZA" w:bidi="ar-SA"/>
    </w:rPr>
  </w:style>
  <w:style w:type="paragraph" w:styleId="Heading7">
    <w:name w:val="Heading 7"/>
    <w:basedOn w:val="Heading"/>
    <w:link w:val="Heading7Char"/>
    <w:qFormat/>
    <w:rsid w:val="0031409a"/>
    <w:pPr>
      <w:widowControl w:val="false"/>
      <w:suppressAutoHyphens w:val="true"/>
      <w:bidi w:val="0"/>
      <w:jc w:val="left"/>
      <w:outlineLvl w:val="6"/>
    </w:pPr>
    <w:rPr>
      <w:rFonts w:ascii="Times New Roman" w:hAnsi="Times New Roman" w:eastAsia="Times New Roman" w:cs="Times New Roman"/>
      <w:color w:val="00000A"/>
      <w:sz w:val="22"/>
      <w:szCs w:val="20"/>
      <w:lang w:val="en-ZA" w:eastAsia="en-ZA" w:bidi="ar-SA"/>
    </w:rPr>
  </w:style>
  <w:style w:type="paragraph" w:styleId="Heading8">
    <w:name w:val="Heading 8"/>
    <w:basedOn w:val="Heading"/>
    <w:link w:val="Heading8Char"/>
    <w:qFormat/>
    <w:rsid w:val="0031409a"/>
    <w:pPr>
      <w:widowControl w:val="false"/>
      <w:suppressAutoHyphens w:val="true"/>
      <w:bidi w:val="0"/>
      <w:jc w:val="left"/>
      <w:outlineLvl w:val="7"/>
    </w:pPr>
    <w:rPr>
      <w:rFonts w:ascii="Times New Roman" w:hAnsi="Times New Roman" w:eastAsia="Times New Roman" w:cs="Times New Roman"/>
      <w:color w:val="00000A"/>
      <w:sz w:val="22"/>
      <w:szCs w:val="20"/>
      <w:lang w:val="en-ZA" w:eastAsia="en-ZA" w:bidi="ar-SA"/>
    </w:rPr>
  </w:style>
  <w:style w:type="paragraph" w:styleId="Heading9">
    <w:name w:val="Heading 9"/>
    <w:basedOn w:val="Heading"/>
    <w:link w:val="Heading9Char"/>
    <w:qFormat/>
    <w:rsid w:val="0031409a"/>
    <w:pPr>
      <w:widowControl w:val="false"/>
      <w:suppressAutoHyphens w:val="true"/>
      <w:bidi w:val="0"/>
      <w:jc w:val="left"/>
      <w:outlineLvl w:val="8"/>
    </w:pPr>
    <w:rPr>
      <w:rFonts w:ascii="Times New Roman" w:hAnsi="Times New Roman" w:eastAsia="Times New Roman" w:cs="Times New Roman"/>
      <w:color w:val="00000A"/>
      <w:sz w:val="22"/>
      <w:szCs w:val="20"/>
      <w:lang w:val="en-ZA" w:eastAsia="en-ZA" w:bidi="ar-SA"/>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9"/>
    <w:qFormat/>
    <w:locked/>
    <w:rsid w:val="009039fa"/>
    <w:rPr>
      <w:rFonts w:ascii="Century Gothic" w:hAnsi="Century Gothic" w:cs="Century Gothic"/>
      <w:b/>
      <w:bCs/>
      <w:sz w:val="26"/>
      <w:szCs w:val="26"/>
      <w:lang w:val="en-ZA"/>
    </w:rPr>
  </w:style>
  <w:style w:type="character" w:styleId="Heading2Char" w:customStyle="1">
    <w:name w:val="Heading 2 Char"/>
    <w:basedOn w:val="DefaultParagraphFont"/>
    <w:link w:val="Heading2"/>
    <w:uiPriority w:val="99"/>
    <w:qFormat/>
    <w:locked/>
    <w:rsid w:val="009039fa"/>
    <w:rPr>
      <w:rFonts w:ascii="Century Gothic" w:hAnsi="Century Gothic" w:cs="Century Gothic"/>
      <w:b/>
      <w:bCs/>
      <w:sz w:val="26"/>
      <w:szCs w:val="26"/>
      <w:lang w:val="en-ZA"/>
    </w:rPr>
  </w:style>
  <w:style w:type="character" w:styleId="Heading3Char" w:customStyle="1">
    <w:name w:val="Heading 3 Char"/>
    <w:basedOn w:val="DefaultParagraphFont"/>
    <w:link w:val="Heading3"/>
    <w:uiPriority w:val="99"/>
    <w:qFormat/>
    <w:locked/>
    <w:rsid w:val="009039fa"/>
    <w:rPr>
      <w:rFonts w:ascii="Century Gothic" w:hAnsi="Century Gothic" w:cs="Century Gothic"/>
      <w:b/>
      <w:bCs/>
      <w:lang w:val="en-ZA"/>
    </w:rPr>
  </w:style>
  <w:style w:type="character" w:styleId="Heading4Char" w:customStyle="1">
    <w:name w:val="Heading 4 Char"/>
    <w:basedOn w:val="DefaultParagraphFont"/>
    <w:link w:val="Heading4"/>
    <w:uiPriority w:val="99"/>
    <w:semiHidden/>
    <w:qFormat/>
    <w:locked/>
    <w:rsid w:val="009039fa"/>
    <w:rPr>
      <w:rFonts w:ascii="Calibri" w:hAnsi="Calibri" w:cs="Times New Roman"/>
      <w:b/>
      <w:bCs/>
      <w:sz w:val="28"/>
      <w:szCs w:val="28"/>
      <w:lang w:val="en-ZA"/>
    </w:rPr>
  </w:style>
  <w:style w:type="character" w:styleId="Heading5Char" w:customStyle="1">
    <w:name w:val="Heading 5 Char"/>
    <w:basedOn w:val="DefaultParagraphFont"/>
    <w:link w:val="Heading5"/>
    <w:uiPriority w:val="99"/>
    <w:semiHidden/>
    <w:qFormat/>
    <w:locked/>
    <w:rsid w:val="009039fa"/>
    <w:rPr>
      <w:rFonts w:ascii="Calibri" w:hAnsi="Calibri" w:cs="Times New Roman"/>
      <w:b/>
      <w:bCs/>
      <w:i/>
      <w:iCs/>
      <w:sz w:val="26"/>
      <w:szCs w:val="26"/>
      <w:lang w:val="en-ZA"/>
    </w:rPr>
  </w:style>
  <w:style w:type="character" w:styleId="Heading6Char" w:customStyle="1">
    <w:name w:val="Heading 6 Char"/>
    <w:basedOn w:val="DefaultParagraphFont"/>
    <w:link w:val="Heading6"/>
    <w:uiPriority w:val="99"/>
    <w:semiHidden/>
    <w:qFormat/>
    <w:locked/>
    <w:rsid w:val="009039fa"/>
    <w:rPr>
      <w:rFonts w:ascii="Calibri" w:hAnsi="Calibri" w:cs="Times New Roman"/>
      <w:b/>
      <w:bCs/>
      <w:lang w:val="en-ZA"/>
    </w:rPr>
  </w:style>
  <w:style w:type="character" w:styleId="Heading7Char" w:customStyle="1">
    <w:name w:val="Heading 7 Char"/>
    <w:basedOn w:val="DefaultParagraphFont"/>
    <w:link w:val="Heading7"/>
    <w:uiPriority w:val="99"/>
    <w:semiHidden/>
    <w:qFormat/>
    <w:locked/>
    <w:rsid w:val="009039fa"/>
    <w:rPr>
      <w:rFonts w:ascii="Calibri" w:hAnsi="Calibri" w:cs="Times New Roman"/>
      <w:sz w:val="24"/>
      <w:szCs w:val="24"/>
      <w:lang w:val="en-ZA"/>
    </w:rPr>
  </w:style>
  <w:style w:type="character" w:styleId="Heading8Char" w:customStyle="1">
    <w:name w:val="Heading 8 Char"/>
    <w:basedOn w:val="DefaultParagraphFont"/>
    <w:link w:val="Heading8"/>
    <w:uiPriority w:val="99"/>
    <w:semiHidden/>
    <w:qFormat/>
    <w:locked/>
    <w:rsid w:val="009039fa"/>
    <w:rPr>
      <w:rFonts w:ascii="Calibri" w:hAnsi="Calibri" w:cs="Times New Roman"/>
      <w:i/>
      <w:iCs/>
      <w:sz w:val="24"/>
      <w:szCs w:val="24"/>
      <w:lang w:val="en-ZA"/>
    </w:rPr>
  </w:style>
  <w:style w:type="character" w:styleId="Heading9Char" w:customStyle="1">
    <w:name w:val="Heading 9 Char"/>
    <w:basedOn w:val="DefaultParagraphFont"/>
    <w:link w:val="Heading9"/>
    <w:uiPriority w:val="99"/>
    <w:semiHidden/>
    <w:qFormat/>
    <w:locked/>
    <w:rsid w:val="009039fa"/>
    <w:rPr>
      <w:rFonts w:ascii="Cambria" w:hAnsi="Cambria" w:cs="Times New Roman"/>
      <w:lang w:val="en-ZA"/>
    </w:rPr>
  </w:style>
  <w:style w:type="character" w:styleId="HeaderChar" w:customStyle="1">
    <w:name w:val="Header Char"/>
    <w:basedOn w:val="DefaultParagraphFont"/>
    <w:link w:val="Header"/>
    <w:uiPriority w:val="99"/>
    <w:semiHidden/>
    <w:qFormat/>
    <w:locked/>
    <w:rsid w:val="009039fa"/>
    <w:rPr>
      <w:rFonts w:ascii="Century Gothic" w:hAnsi="Century Gothic" w:cs="Century Gothic"/>
      <w:lang w:val="en-ZA"/>
    </w:rPr>
  </w:style>
  <w:style w:type="character" w:styleId="FooterChar" w:customStyle="1">
    <w:name w:val="Footer Char"/>
    <w:basedOn w:val="DefaultParagraphFont"/>
    <w:link w:val="Footer"/>
    <w:uiPriority w:val="99"/>
    <w:qFormat/>
    <w:locked/>
    <w:rsid w:val="009039fa"/>
    <w:rPr>
      <w:rFonts w:ascii="Century Gothic" w:hAnsi="Century Gothic" w:cs="Century Gothic"/>
      <w:lang w:val="en-ZA"/>
    </w:rPr>
  </w:style>
  <w:style w:type="character" w:styleId="BodyTextChar" w:customStyle="1">
    <w:name w:val="Body Text Char"/>
    <w:basedOn w:val="DefaultParagraphFont"/>
    <w:link w:val="BodyText"/>
    <w:uiPriority w:val="99"/>
    <w:semiHidden/>
    <w:qFormat/>
    <w:locked/>
    <w:rsid w:val="009039fa"/>
    <w:rPr>
      <w:rFonts w:ascii="Century Gothic" w:hAnsi="Century Gothic" w:cs="Century Gothic"/>
      <w:lang w:val="en-ZA"/>
    </w:rPr>
  </w:style>
  <w:style w:type="character" w:styleId="BalloonTextChar" w:customStyle="1">
    <w:name w:val="Balloon Text Char"/>
    <w:basedOn w:val="DefaultParagraphFont"/>
    <w:link w:val="BalloonText"/>
    <w:uiPriority w:val="99"/>
    <w:semiHidden/>
    <w:qFormat/>
    <w:locked/>
    <w:rsid w:val="009039fa"/>
    <w:rPr>
      <w:rFonts w:cs="Times New Roman"/>
      <w:sz w:val="2"/>
      <w:lang w:val="en-ZA"/>
    </w:rPr>
  </w:style>
  <w:style w:type="character" w:styleId="TitleChar" w:customStyle="1">
    <w:name w:val="Title Char"/>
    <w:basedOn w:val="DefaultParagraphFont"/>
    <w:link w:val="Title"/>
    <w:qFormat/>
    <w:locked/>
    <w:rsid w:val="009039fa"/>
    <w:rPr>
      <w:rFonts w:ascii="Cambria" w:hAnsi="Cambria" w:cs="Times New Roman"/>
      <w:b/>
      <w:bCs/>
      <w:sz w:val="32"/>
      <w:szCs w:val="32"/>
      <w:lang w:val="en-ZA"/>
    </w:rPr>
  </w:style>
  <w:style w:type="character" w:styleId="BodyText2Char" w:customStyle="1">
    <w:name w:val="Body Text 2 Char"/>
    <w:basedOn w:val="DefaultParagraphFont"/>
    <w:link w:val="BodyText2"/>
    <w:uiPriority w:val="99"/>
    <w:semiHidden/>
    <w:qFormat/>
    <w:locked/>
    <w:rsid w:val="009039fa"/>
    <w:rPr>
      <w:rFonts w:ascii="Century Gothic" w:hAnsi="Century Gothic" w:cs="Century Gothic"/>
      <w:lang w:val="en-ZA"/>
    </w:rPr>
  </w:style>
  <w:style w:type="character" w:styleId="DocumentMapChar" w:customStyle="1">
    <w:name w:val="Document Map Char"/>
    <w:basedOn w:val="DefaultParagraphFont"/>
    <w:link w:val="DocumentMap"/>
    <w:uiPriority w:val="99"/>
    <w:semiHidden/>
    <w:qFormat/>
    <w:locked/>
    <w:rsid w:val="009039fa"/>
    <w:rPr>
      <w:rFonts w:cs="Times New Roman"/>
      <w:sz w:val="2"/>
      <w:lang w:val="en-ZA"/>
    </w:rPr>
  </w:style>
  <w:style w:type="character" w:styleId="FollowedHyperlink">
    <w:name w:val="FollowedHyperlink"/>
    <w:basedOn w:val="DefaultParagraphFont"/>
    <w:uiPriority w:val="99"/>
    <w:qFormat/>
    <w:rsid w:val="0031409a"/>
    <w:rPr>
      <w:rFonts w:cs="Times New Roman"/>
      <w:color w:val="800080"/>
      <w:u w:val="single"/>
    </w:rPr>
  </w:style>
  <w:style w:type="character" w:styleId="Footnotereference">
    <w:name w:val="footnote reference"/>
    <w:basedOn w:val="DefaultParagraphFont"/>
    <w:uiPriority w:val="99"/>
    <w:semiHidden/>
    <w:qFormat/>
    <w:rsid w:val="0031409a"/>
    <w:rPr>
      <w:rFonts w:cs="Times New Roman"/>
      <w:vertAlign w:val="superscript"/>
    </w:rPr>
  </w:style>
  <w:style w:type="character" w:styleId="FootnoteTextChar" w:customStyle="1">
    <w:name w:val="Footnote Text Char"/>
    <w:basedOn w:val="DefaultParagraphFont"/>
    <w:link w:val="FootnoteText"/>
    <w:uiPriority w:val="99"/>
    <w:semiHidden/>
    <w:qFormat/>
    <w:locked/>
    <w:rsid w:val="009039fa"/>
    <w:rPr>
      <w:rFonts w:ascii="Century Gothic" w:hAnsi="Century Gothic" w:cs="Century Gothic"/>
      <w:sz w:val="20"/>
      <w:szCs w:val="20"/>
      <w:lang w:val="en-ZA"/>
    </w:rPr>
  </w:style>
  <w:style w:type="character" w:styleId="InternetLink">
    <w:name w:val="Internet Link"/>
    <w:basedOn w:val="DefaultParagraphFont"/>
    <w:uiPriority w:val="99"/>
    <w:rsid w:val="0031409a"/>
    <w:rPr>
      <w:rFonts w:cs="Times New Roman"/>
      <w:color w:val="0000FF"/>
      <w:u w:val="single"/>
    </w:rPr>
  </w:style>
  <w:style w:type="character" w:styleId="Pagenumber">
    <w:name w:val="page number"/>
    <w:basedOn w:val="DefaultParagraphFont"/>
    <w:uiPriority w:val="99"/>
    <w:qFormat/>
    <w:rsid w:val="0031409a"/>
    <w:rPr>
      <w:rFonts w:cs="Times New Roman"/>
    </w:rPr>
  </w:style>
  <w:style w:type="character" w:styleId="SubtitleChar" w:customStyle="1">
    <w:name w:val="Subtitle Char"/>
    <w:basedOn w:val="DefaultParagraphFont"/>
    <w:link w:val="Subtitle"/>
    <w:uiPriority w:val="99"/>
    <w:qFormat/>
    <w:locked/>
    <w:rsid w:val="009039fa"/>
    <w:rPr>
      <w:rFonts w:ascii="Cambria" w:hAnsi="Cambria" w:cs="Times New Roman"/>
      <w:sz w:val="24"/>
      <w:szCs w:val="24"/>
      <w:lang w:val="en-ZA"/>
    </w:rPr>
  </w:style>
  <w:style w:type="character" w:styleId="Bullet1Char" w:customStyle="1">
    <w:name w:val="Bullet 1 Char"/>
    <w:basedOn w:val="DefaultParagraphFont"/>
    <w:link w:val="Bullet1"/>
    <w:uiPriority w:val="99"/>
    <w:qFormat/>
    <w:locked/>
    <w:rsid w:val="0031409a"/>
    <w:rPr>
      <w:rFonts w:ascii="Century Gothic" w:hAnsi="Century Gothic" w:cs="Century Gothic"/>
      <w:lang w:val="en-ZA"/>
    </w:rPr>
  </w:style>
  <w:style w:type="character" w:styleId="Bullet2Char" w:customStyle="1">
    <w:name w:val="Bullet 2 Char"/>
    <w:basedOn w:val="Bullet1Char"/>
    <w:link w:val="Bullet2"/>
    <w:uiPriority w:val="99"/>
    <w:qFormat/>
    <w:locked/>
    <w:rsid w:val="0031409a"/>
    <w:rPr>
      <w:rFonts w:ascii="Century Gothic" w:hAnsi="Century Gothic" w:cs="Century Gothic"/>
      <w:lang w:val="en-ZA"/>
    </w:rPr>
  </w:style>
  <w:style w:type="character" w:styleId="Bullet3Char" w:customStyle="1">
    <w:name w:val="Bullet 3 Char"/>
    <w:basedOn w:val="Bullet2Char"/>
    <w:link w:val="Bullet3"/>
    <w:uiPriority w:val="99"/>
    <w:qFormat/>
    <w:locked/>
    <w:rsid w:val="0031409a"/>
    <w:rPr>
      <w:rFonts w:ascii="Century Gothic" w:hAnsi="Century Gothic" w:cs="Century Gothic"/>
      <w:lang w:val="en-ZA"/>
    </w:rPr>
  </w:style>
  <w:style w:type="character" w:styleId="Bullet4Char" w:customStyle="1">
    <w:name w:val="Bullet 4 Char"/>
    <w:basedOn w:val="Bullet3Char"/>
    <w:link w:val="Bullet4"/>
    <w:uiPriority w:val="99"/>
    <w:qFormat/>
    <w:locked/>
    <w:rsid w:val="0031409a"/>
    <w:rPr>
      <w:rFonts w:ascii="Century Gothic" w:hAnsi="Century Gothic" w:cs="Century Gothic"/>
      <w:lang w:val="en-ZA"/>
    </w:rPr>
  </w:style>
  <w:style w:type="character" w:styleId="Bullet5Char" w:customStyle="1">
    <w:name w:val="Bullet 5 Char"/>
    <w:basedOn w:val="Bullet4Char"/>
    <w:link w:val="Bullet5"/>
    <w:uiPriority w:val="99"/>
    <w:qFormat/>
    <w:locked/>
    <w:rsid w:val="0031409a"/>
    <w:rPr>
      <w:rFonts w:ascii="Century Gothic" w:hAnsi="Century Gothic" w:cs="Century Gothic"/>
      <w:lang w:val="en-ZA"/>
    </w:rPr>
  </w:style>
  <w:style w:type="character" w:styleId="Bullet6Char" w:customStyle="1">
    <w:name w:val="Bullet 6 Char"/>
    <w:basedOn w:val="Bullet5Char"/>
    <w:link w:val="Bullet6"/>
    <w:uiPriority w:val="99"/>
    <w:qFormat/>
    <w:locked/>
    <w:rsid w:val="0031409a"/>
    <w:rPr>
      <w:rFonts w:ascii="Century Gothic" w:hAnsi="Century Gothic" w:cs="Century Gothic"/>
      <w:lang w:val="en-ZA"/>
    </w:rPr>
  </w:style>
  <w:style w:type="character" w:styleId="Bullet7Char" w:customStyle="1">
    <w:name w:val="Bullet 7 Char"/>
    <w:basedOn w:val="Bullet6Char"/>
    <w:link w:val="Bullet7"/>
    <w:uiPriority w:val="99"/>
    <w:qFormat/>
    <w:locked/>
    <w:rsid w:val="0031409a"/>
    <w:rPr>
      <w:rFonts w:ascii="Century Gothic" w:hAnsi="Century Gothic" w:cs="Century Gothic"/>
      <w:lang w:val="en-ZA"/>
    </w:rPr>
  </w:style>
  <w:style w:type="character" w:styleId="SubtleEmphasis">
    <w:name w:val="Subtle Emphasis"/>
    <w:basedOn w:val="DefaultParagraphFont"/>
    <w:uiPriority w:val="19"/>
    <w:qFormat/>
    <w:rsid w:val="00d85756"/>
    <w:rPr>
      <w:i/>
      <w:iCs/>
      <w:color w:val="404040" w:themeColor="text1" w:themeTint="bf"/>
    </w:rPr>
  </w:style>
  <w:style w:type="character" w:styleId="Annotationreference">
    <w:name w:val="annotation reference"/>
    <w:basedOn w:val="DefaultParagraphFont"/>
    <w:uiPriority w:val="99"/>
    <w:semiHidden/>
    <w:unhideWhenUsed/>
    <w:qFormat/>
    <w:locked/>
    <w:rsid w:val="001a36e2"/>
    <w:rPr>
      <w:sz w:val="18"/>
      <w:szCs w:val="18"/>
    </w:rPr>
  </w:style>
  <w:style w:type="character" w:styleId="CommentTextChar" w:customStyle="1">
    <w:name w:val="Comment Text Char"/>
    <w:basedOn w:val="DefaultParagraphFont"/>
    <w:link w:val="CommentText"/>
    <w:uiPriority w:val="99"/>
    <w:semiHidden/>
    <w:qFormat/>
    <w:rsid w:val="001a36e2"/>
    <w:rPr>
      <w:rFonts w:ascii="Century Gothic" w:hAnsi="Century Gothic" w:cs="Century Gothic"/>
      <w:sz w:val="24"/>
      <w:szCs w:val="24"/>
      <w:lang w:eastAsia="en-US"/>
    </w:rPr>
  </w:style>
  <w:style w:type="character" w:styleId="CommentSubjectChar" w:customStyle="1">
    <w:name w:val="Comment Subject Char"/>
    <w:basedOn w:val="CommentTextChar"/>
    <w:link w:val="CommentSubject"/>
    <w:uiPriority w:val="99"/>
    <w:semiHidden/>
    <w:qFormat/>
    <w:rsid w:val="001a36e2"/>
    <w:rPr>
      <w:rFonts w:ascii="Century Gothic" w:hAnsi="Century Gothic" w:cs="Century Gothic"/>
      <w:b/>
      <w:bCs/>
      <w:sz w:val="24"/>
      <w:szCs w:val="24"/>
      <w:lang w:eastAsia="en-US"/>
    </w:rPr>
  </w:style>
  <w:style w:type="character" w:styleId="ListLabel1">
    <w:name w:val="ListLabel 1"/>
    <w:qFormat/>
    <w:rPr>
      <w:rFonts w:cs="Times New Roman"/>
    </w:rPr>
  </w:style>
  <w:style w:type="character" w:styleId="ListLabel2">
    <w:name w:val="ListLabel 2"/>
    <w:qFormat/>
    <w:rPr>
      <w:rFonts w:cs="Courier New"/>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link w:val="BodyTextChar"/>
    <w:uiPriority w:val="99"/>
    <w:rsid w:val="0031409a"/>
    <w:pPr>
      <w:ind w:left="1134" w:hanging="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rsid w:val="0031409a"/>
    <w:pPr>
      <w:spacing w:lineRule="auto" w:line="240" w:before="120" w:after="120"/>
      <w:jc w:val="right"/>
    </w:pPr>
    <w:rPr>
      <w:b/>
      <w:bCs/>
      <w:sz w:val="72"/>
      <w:szCs w:val="72"/>
    </w:rPr>
  </w:style>
  <w:style w:type="paragraph" w:styleId="Footer">
    <w:name w:val="Footer"/>
    <w:basedOn w:val="Normal"/>
    <w:link w:val="FooterChar"/>
    <w:uiPriority w:val="99"/>
    <w:rsid w:val="0058258c"/>
    <w:pPr>
      <w:tabs>
        <w:tab w:val="right" w:pos="9072" w:leader="none"/>
      </w:tabs>
      <w:spacing w:before="0" w:after="0"/>
    </w:pPr>
    <w:rPr/>
  </w:style>
  <w:style w:type="paragraph" w:styleId="Bullet1" w:customStyle="1">
    <w:name w:val="Bullet 1"/>
    <w:basedOn w:val="Normal"/>
    <w:link w:val="Bullet1Char"/>
    <w:uiPriority w:val="99"/>
    <w:qFormat/>
    <w:rsid w:val="0031409a"/>
    <w:pPr>
      <w:tabs>
        <w:tab w:val="left" w:pos="360" w:leader="none"/>
      </w:tabs>
      <w:ind w:left="360" w:hanging="360"/>
    </w:pPr>
    <w:rPr/>
  </w:style>
  <w:style w:type="paragraph" w:styleId="Bullet2" w:customStyle="1">
    <w:name w:val="Bullet 2"/>
    <w:basedOn w:val="Bullet1"/>
    <w:link w:val="Bullet2Char"/>
    <w:uiPriority w:val="99"/>
    <w:qFormat/>
    <w:rsid w:val="0031409a"/>
    <w:pPr>
      <w:tabs>
        <w:tab w:val="left" w:pos="360" w:leader="none"/>
        <w:tab w:val="left" w:pos="794" w:leader="none"/>
        <w:tab w:val="left" w:pos="1928" w:leader="none"/>
      </w:tabs>
      <w:ind w:left="1928" w:hanging="397"/>
    </w:pPr>
    <w:rPr/>
  </w:style>
  <w:style w:type="paragraph" w:styleId="Bullet3" w:customStyle="1">
    <w:name w:val="Bullet 3"/>
    <w:basedOn w:val="Bullet2"/>
    <w:link w:val="Bullet3Char"/>
    <w:uiPriority w:val="99"/>
    <w:qFormat/>
    <w:rsid w:val="0031409a"/>
    <w:pPr>
      <w:tabs>
        <w:tab w:val="left" w:pos="360" w:leader="none"/>
        <w:tab w:val="left" w:pos="1191" w:leader="none"/>
        <w:tab w:val="left" w:pos="2325" w:leader="none"/>
      </w:tabs>
      <w:ind w:left="2325" w:hanging="397"/>
    </w:pPr>
    <w:rPr/>
  </w:style>
  <w:style w:type="paragraph" w:styleId="Bullet4" w:customStyle="1">
    <w:name w:val="Bullet 4"/>
    <w:basedOn w:val="Bullet3"/>
    <w:link w:val="Bullet4Char"/>
    <w:uiPriority w:val="99"/>
    <w:qFormat/>
    <w:rsid w:val="0031409a"/>
    <w:pPr>
      <w:tabs>
        <w:tab w:val="left" w:pos="360" w:leader="none"/>
        <w:tab w:val="left" w:pos="1588" w:leader="none"/>
        <w:tab w:val="left" w:pos="2722" w:leader="none"/>
      </w:tabs>
      <w:ind w:left="2722" w:hanging="397"/>
    </w:pPr>
    <w:rPr/>
  </w:style>
  <w:style w:type="paragraph" w:styleId="Caption1">
    <w:name w:val="caption"/>
    <w:basedOn w:val="TextBody"/>
    <w:uiPriority w:val="99"/>
    <w:qFormat/>
    <w:rsid w:val="0031409a"/>
    <w:pPr>
      <w:keepNext/>
      <w:spacing w:before="60" w:after="0"/>
      <w:jc w:val="left"/>
    </w:pPr>
    <w:rPr>
      <w:b/>
      <w:bCs/>
      <w:sz w:val="18"/>
      <w:szCs w:val="18"/>
    </w:rPr>
  </w:style>
  <w:style w:type="paragraph" w:styleId="Number1" w:customStyle="1">
    <w:name w:val="Number 1"/>
    <w:basedOn w:val="TextBody"/>
    <w:uiPriority w:val="99"/>
    <w:qFormat/>
    <w:rsid w:val="0031409a"/>
    <w:pPr>
      <w:tabs>
        <w:tab w:val="left" w:pos="926" w:leader="none"/>
        <w:tab w:val="left" w:pos="1492" w:leader="none"/>
        <w:tab w:val="left" w:pos="1531" w:leader="none"/>
      </w:tabs>
      <w:ind w:left="1531" w:hanging="397"/>
    </w:pPr>
    <w:rPr/>
  </w:style>
  <w:style w:type="paragraph" w:styleId="Number2" w:customStyle="1">
    <w:name w:val="Number 2"/>
    <w:basedOn w:val="Number1"/>
    <w:uiPriority w:val="99"/>
    <w:qFormat/>
    <w:rsid w:val="0031409a"/>
    <w:pPr>
      <w:tabs>
        <w:tab w:val="left" w:pos="926" w:leader="none"/>
        <w:tab w:val="left" w:pos="2098" w:leader="none"/>
      </w:tabs>
      <w:ind w:left="2098" w:hanging="567"/>
    </w:pPr>
    <w:rPr/>
  </w:style>
  <w:style w:type="paragraph" w:styleId="Number3" w:customStyle="1">
    <w:name w:val="Number 3"/>
    <w:basedOn w:val="Number2"/>
    <w:uiPriority w:val="99"/>
    <w:qFormat/>
    <w:rsid w:val="0031409a"/>
    <w:pPr>
      <w:tabs>
        <w:tab w:val="left" w:pos="926" w:leader="none"/>
        <w:tab w:val="left" w:pos="2835" w:leader="none"/>
      </w:tabs>
      <w:ind w:left="2835" w:hanging="737"/>
    </w:pPr>
    <w:rPr/>
  </w:style>
  <w:style w:type="paragraph" w:styleId="Number4" w:customStyle="1">
    <w:name w:val="Number 4"/>
    <w:basedOn w:val="TextBody"/>
    <w:uiPriority w:val="99"/>
    <w:qFormat/>
    <w:rsid w:val="000e05d0"/>
    <w:pPr>
      <w:tabs>
        <w:tab w:val="left" w:pos="360" w:leader="none"/>
      </w:tabs>
      <w:ind w:left="0" w:hanging="0"/>
    </w:pPr>
    <w:rPr/>
  </w:style>
  <w:style w:type="paragraph" w:styleId="TableContents" w:customStyle="1">
    <w:name w:val="Table Contents"/>
    <w:basedOn w:val="Normal"/>
    <w:qFormat/>
    <w:rsid w:val="00e96726"/>
    <w:pPr>
      <w:widowControl w:val="false"/>
      <w:suppressLineNumbers/>
      <w:suppressAutoHyphens w:val="true"/>
      <w:spacing w:lineRule="auto" w:line="240" w:before="0" w:after="0"/>
      <w:jc w:val="left"/>
    </w:pPr>
    <w:rPr>
      <w:rFonts w:ascii="Arial" w:hAnsi="Arial" w:eastAsia="Andale Sans UI" w:cs="Tahoma"/>
      <w:sz w:val="24"/>
      <w:szCs w:val="24"/>
      <w:lang w:val="en-US" w:bidi="en-US"/>
    </w:rPr>
  </w:style>
  <w:style w:type="paragraph" w:styleId="TableHeading" w:customStyle="1">
    <w:name w:val="Table Heading"/>
    <w:basedOn w:val="Normal"/>
    <w:qFormat/>
    <w:rsid w:val="0031409a"/>
    <w:pPr>
      <w:keepNext/>
      <w:spacing w:before="60" w:after="60"/>
      <w:jc w:val="center"/>
    </w:pPr>
    <w:rPr>
      <w:b/>
      <w:bCs/>
    </w:rPr>
  </w:style>
  <w:style w:type="paragraph" w:styleId="BalloonText">
    <w:name w:val="Balloon Text"/>
    <w:basedOn w:val="Normal"/>
    <w:link w:val="BalloonTextChar"/>
    <w:uiPriority w:val="99"/>
    <w:semiHidden/>
    <w:qFormat/>
    <w:rsid w:val="0031409a"/>
    <w:pPr/>
    <w:rPr>
      <w:rFonts w:ascii="Tahoma" w:hAnsi="Tahoma" w:cs="Tahoma"/>
      <w:sz w:val="16"/>
      <w:szCs w:val="16"/>
    </w:rPr>
  </w:style>
  <w:style w:type="paragraph" w:styleId="Title">
    <w:name w:val="Title"/>
    <w:basedOn w:val="Normal"/>
    <w:link w:val="TitleChar"/>
    <w:qFormat/>
    <w:rsid w:val="0031409a"/>
    <w:pPr>
      <w:spacing w:before="240" w:after="60"/>
      <w:jc w:val="center"/>
      <w:outlineLvl w:val="0"/>
    </w:pPr>
    <w:rPr>
      <w:b/>
      <w:bCs/>
      <w:sz w:val="32"/>
      <w:szCs w:val="32"/>
    </w:rPr>
  </w:style>
  <w:style w:type="paragraph" w:styleId="Address" w:customStyle="1">
    <w:name w:val="Address"/>
    <w:basedOn w:val="Title"/>
    <w:uiPriority w:val="99"/>
    <w:qFormat/>
    <w:rsid w:val="0031409a"/>
    <w:pPr>
      <w:spacing w:lineRule="atLeast" w:line="360" w:before="0" w:after="72"/>
      <w:jc w:val="both"/>
    </w:pPr>
    <w:rPr>
      <w:b w:val="false"/>
      <w:bCs w:val="false"/>
      <w:sz w:val="22"/>
      <w:szCs w:val="22"/>
    </w:rPr>
  </w:style>
  <w:style w:type="paragraph" w:styleId="HeadingBase" w:customStyle="1">
    <w:name w:val="Heading Base"/>
    <w:basedOn w:val="Normal"/>
    <w:uiPriority w:val="99"/>
    <w:qFormat/>
    <w:rsid w:val="0031409a"/>
    <w:pPr>
      <w:keepNext/>
      <w:keepLines/>
      <w:spacing w:lineRule="auto" w:line="240"/>
    </w:pPr>
    <w:rPr/>
  </w:style>
  <w:style w:type="paragraph" w:styleId="Appendix1" w:customStyle="1">
    <w:name w:val="Appendix 1"/>
    <w:basedOn w:val="HeadingBase"/>
    <w:next w:val="Normal"/>
    <w:uiPriority w:val="99"/>
    <w:qFormat/>
    <w:rsid w:val="0031409a"/>
    <w:pPr>
      <w:pageBreakBefore/>
      <w:pBdr>
        <w:top w:val="single" w:sz="48" w:space="1" w:color="FFFFFF"/>
        <w:left w:val="single" w:sz="6" w:space="4" w:color="FFFFFF"/>
        <w:bottom w:val="single" w:sz="6" w:space="1" w:color="FFFFFF"/>
      </w:pBdr>
      <w:tabs>
        <w:tab w:val="left" w:pos="1209" w:leader="none"/>
      </w:tabs>
      <w:spacing w:before="240" w:after="200"/>
      <w:ind w:left="1134" w:hanging="1049"/>
      <w:outlineLvl w:val="0"/>
    </w:pPr>
    <w:rPr>
      <w:b/>
      <w:bCs/>
      <w:sz w:val="26"/>
      <w:szCs w:val="26"/>
    </w:rPr>
  </w:style>
  <w:style w:type="paragraph" w:styleId="Appendix2" w:customStyle="1">
    <w:name w:val="Appendix 2"/>
    <w:basedOn w:val="HeadingBase"/>
    <w:uiPriority w:val="99"/>
    <w:qFormat/>
    <w:rsid w:val="0031409a"/>
    <w:pPr>
      <w:tabs>
        <w:tab w:val="left" w:pos="1209" w:leader="none"/>
      </w:tabs>
      <w:ind w:left="567" w:hanging="360"/>
      <w:outlineLvl w:val="1"/>
    </w:pPr>
    <w:rPr>
      <w:b/>
      <w:bCs/>
      <w:sz w:val="26"/>
      <w:szCs w:val="26"/>
    </w:rPr>
  </w:style>
  <w:style w:type="paragraph" w:styleId="Appendix3" w:customStyle="1">
    <w:name w:val="Appendix 3"/>
    <w:basedOn w:val="HeadingBase"/>
    <w:uiPriority w:val="99"/>
    <w:qFormat/>
    <w:rsid w:val="0031409a"/>
    <w:pPr>
      <w:tabs>
        <w:tab w:val="left" w:pos="1209" w:leader="none"/>
      </w:tabs>
      <w:ind w:left="1134" w:hanging="360"/>
      <w:outlineLvl w:val="2"/>
    </w:pPr>
    <w:rPr>
      <w:b/>
      <w:bCs/>
    </w:rPr>
  </w:style>
  <w:style w:type="paragraph" w:styleId="Appendix4" w:customStyle="1">
    <w:name w:val="Appendix 4"/>
    <w:basedOn w:val="HeadingBase"/>
    <w:uiPriority w:val="99"/>
    <w:qFormat/>
    <w:rsid w:val="000e05d0"/>
    <w:pPr>
      <w:outlineLvl w:val="3"/>
    </w:pPr>
    <w:rPr/>
  </w:style>
  <w:style w:type="paragraph" w:styleId="BodyText2">
    <w:name w:val="Body Text 2"/>
    <w:basedOn w:val="Normal"/>
    <w:link w:val="BodyText2Char"/>
    <w:uiPriority w:val="99"/>
    <w:qFormat/>
    <w:rsid w:val="000e05d0"/>
    <w:pPr>
      <w:spacing w:lineRule="auto" w:line="240"/>
      <w:jc w:val="left"/>
    </w:pPr>
    <w:rPr>
      <w:sz w:val="15"/>
      <w:szCs w:val="15"/>
      <w:lang w:val="en-GB"/>
    </w:rPr>
  </w:style>
  <w:style w:type="paragraph" w:styleId="Bullet5" w:customStyle="1">
    <w:name w:val="Bullet 5"/>
    <w:basedOn w:val="Bullet4"/>
    <w:link w:val="Bullet5Char"/>
    <w:uiPriority w:val="99"/>
    <w:qFormat/>
    <w:rsid w:val="0031409a"/>
    <w:pPr>
      <w:tabs>
        <w:tab w:val="left" w:pos="360" w:leader="none"/>
        <w:tab w:val="left" w:pos="1985" w:leader="none"/>
      </w:tabs>
      <w:ind w:left="2722" w:hanging="397"/>
    </w:pPr>
    <w:rPr/>
  </w:style>
  <w:style w:type="paragraph" w:styleId="Bullet6" w:customStyle="1">
    <w:name w:val="Bullet 6"/>
    <w:basedOn w:val="Bullet5"/>
    <w:link w:val="Bullet6Char"/>
    <w:uiPriority w:val="99"/>
    <w:qFormat/>
    <w:rsid w:val="0031409a"/>
    <w:pPr>
      <w:tabs>
        <w:tab w:val="left" w:pos="2381" w:leader="none"/>
      </w:tabs>
    </w:pPr>
    <w:rPr/>
  </w:style>
  <w:style w:type="paragraph" w:styleId="Bullet7" w:customStyle="1">
    <w:name w:val="Bullet 7"/>
    <w:basedOn w:val="Bullet6"/>
    <w:link w:val="Bullet7Char"/>
    <w:uiPriority w:val="99"/>
    <w:qFormat/>
    <w:rsid w:val="0031409a"/>
    <w:pPr>
      <w:tabs>
        <w:tab w:val="left" w:pos="2778" w:leader="none"/>
      </w:tabs>
    </w:pPr>
    <w:rPr/>
  </w:style>
  <w:style w:type="paragraph" w:styleId="DocumentMap">
    <w:name w:val="Document Map"/>
    <w:basedOn w:val="Normal"/>
    <w:link w:val="DocumentMapChar"/>
    <w:uiPriority w:val="99"/>
    <w:semiHidden/>
    <w:qFormat/>
    <w:rsid w:val="0031409a"/>
    <w:pPr>
      <w:shd w:val="clear" w:color="auto" w:fill="000080"/>
    </w:pPr>
    <w:rPr>
      <w:rFonts w:ascii="Tahoma" w:hAnsi="Tahoma" w:cs="Tahoma"/>
    </w:rPr>
  </w:style>
  <w:style w:type="paragraph" w:styleId="FooterText" w:customStyle="1">
    <w:name w:val="Footer Text"/>
    <w:basedOn w:val="Normal"/>
    <w:uiPriority w:val="99"/>
    <w:qFormat/>
    <w:rsid w:val="0031409a"/>
    <w:pPr>
      <w:spacing w:lineRule="auto" w:line="240" w:before="60" w:after="60"/>
      <w:ind w:right="28" w:hanging="0"/>
    </w:pPr>
    <w:rPr>
      <w:sz w:val="18"/>
      <w:szCs w:val="18"/>
    </w:rPr>
  </w:style>
  <w:style w:type="paragraph" w:styleId="FooterDisclaimer" w:customStyle="1">
    <w:name w:val="Footer Disclaimer"/>
    <w:basedOn w:val="FooterText"/>
    <w:uiPriority w:val="99"/>
    <w:qFormat/>
    <w:rsid w:val="0031409a"/>
    <w:pPr>
      <w:spacing w:before="60" w:after="0"/>
    </w:pPr>
    <w:rPr>
      <w:sz w:val="12"/>
      <w:szCs w:val="12"/>
    </w:rPr>
  </w:style>
  <w:style w:type="paragraph" w:styleId="Footnotetext">
    <w:name w:val="footnote text"/>
    <w:basedOn w:val="TextBody"/>
    <w:link w:val="FootnoteTextChar"/>
    <w:uiPriority w:val="99"/>
    <w:semiHidden/>
    <w:qFormat/>
    <w:rsid w:val="0031409a"/>
    <w:pPr>
      <w:spacing w:before="240" w:after="60"/>
    </w:pPr>
    <w:rPr>
      <w:sz w:val="18"/>
      <w:szCs w:val="18"/>
    </w:rPr>
  </w:style>
  <w:style w:type="paragraph" w:styleId="FrontPageDate" w:customStyle="1">
    <w:name w:val="Front Page Date"/>
    <w:basedOn w:val="Normal"/>
    <w:next w:val="Normal"/>
    <w:uiPriority w:val="99"/>
    <w:qFormat/>
    <w:rsid w:val="0031409a"/>
    <w:pPr>
      <w:jc w:val="center"/>
    </w:pPr>
    <w:rPr>
      <w:sz w:val="24"/>
      <w:szCs w:val="24"/>
    </w:rPr>
  </w:style>
  <w:style w:type="paragraph" w:styleId="FrontPageHeading" w:customStyle="1">
    <w:name w:val="Front Page Heading"/>
    <w:basedOn w:val="Normal"/>
    <w:next w:val="Normal"/>
    <w:uiPriority w:val="99"/>
    <w:qFormat/>
    <w:rsid w:val="0031409a"/>
    <w:pPr>
      <w:spacing w:lineRule="atLeast" w:line="400" w:before="240" w:after="240"/>
      <w:jc w:val="center"/>
    </w:pPr>
    <w:rPr>
      <w:spacing w:val="0"/>
      <w:sz w:val="56"/>
      <w:szCs w:val="56"/>
    </w:rPr>
  </w:style>
  <w:style w:type="paragraph" w:styleId="FrontPageSubject" w:customStyle="1">
    <w:name w:val="Front Page Subject"/>
    <w:basedOn w:val="Normal"/>
    <w:next w:val="Normal"/>
    <w:uiPriority w:val="99"/>
    <w:qFormat/>
    <w:rsid w:val="0031409a"/>
    <w:pPr>
      <w:jc w:val="center"/>
    </w:pPr>
    <w:rPr>
      <w:spacing w:val="0"/>
      <w:sz w:val="44"/>
      <w:szCs w:val="44"/>
    </w:rPr>
  </w:style>
  <w:style w:type="paragraph" w:styleId="Genericheading1" w:customStyle="1">
    <w:name w:val="Generic heading 1"/>
    <w:basedOn w:val="HeadingBase"/>
    <w:next w:val="Normal"/>
    <w:uiPriority w:val="99"/>
    <w:qFormat/>
    <w:rsid w:val="0031409a"/>
    <w:pPr>
      <w:pBdr>
        <w:top w:val="single" w:sz="48" w:space="1" w:color="FFFFFF"/>
        <w:left w:val="single" w:sz="6" w:space="4" w:color="FFFFFF"/>
        <w:bottom w:val="single" w:sz="6" w:space="1" w:color="FFFFFF"/>
      </w:pBdr>
      <w:spacing w:before="120" w:after="0"/>
      <w:outlineLvl w:val="0"/>
    </w:pPr>
    <w:rPr>
      <w:b/>
      <w:bCs/>
      <w:sz w:val="26"/>
      <w:szCs w:val="26"/>
    </w:rPr>
  </w:style>
  <w:style w:type="paragraph" w:styleId="Heading0" w:customStyle="1">
    <w:name w:val="Heading 0"/>
    <w:basedOn w:val="HeadingBase"/>
    <w:next w:val="Normal"/>
    <w:uiPriority w:val="99"/>
    <w:qFormat/>
    <w:rsid w:val="0031409a"/>
    <w:pPr>
      <w:pBdr>
        <w:top w:val="single" w:sz="48" w:space="1" w:color="FFFFFF"/>
        <w:left w:val="single" w:sz="6" w:space="4" w:color="FFFFFF"/>
        <w:bottom w:val="single" w:sz="6" w:space="1" w:color="FFFFFF"/>
      </w:pBdr>
      <w:spacing w:before="360" w:after="240"/>
      <w:jc w:val="center"/>
      <w:outlineLvl w:val="0"/>
    </w:pPr>
    <w:rPr>
      <w:b/>
      <w:bCs/>
      <w:sz w:val="26"/>
      <w:szCs w:val="26"/>
    </w:rPr>
  </w:style>
  <w:style w:type="paragraph" w:styleId="Index1">
    <w:name w:val="index 1"/>
    <w:basedOn w:val="Normal"/>
    <w:next w:val="Normal"/>
    <w:autoRedefine/>
    <w:uiPriority w:val="99"/>
    <w:semiHidden/>
    <w:qFormat/>
    <w:rsid w:val="0031409a"/>
    <w:pPr>
      <w:ind w:left="220" w:hanging="220"/>
    </w:pPr>
    <w:rPr/>
  </w:style>
  <w:style w:type="paragraph" w:styleId="Index2">
    <w:name w:val="index 2"/>
    <w:basedOn w:val="Normal"/>
    <w:next w:val="Normal"/>
    <w:autoRedefine/>
    <w:uiPriority w:val="99"/>
    <w:semiHidden/>
    <w:qFormat/>
    <w:rsid w:val="0031409a"/>
    <w:pPr>
      <w:ind w:left="440" w:hanging="220"/>
    </w:pPr>
    <w:rPr/>
  </w:style>
  <w:style w:type="paragraph" w:styleId="Index3">
    <w:name w:val="index 3"/>
    <w:basedOn w:val="Normal"/>
    <w:next w:val="Normal"/>
    <w:autoRedefine/>
    <w:uiPriority w:val="99"/>
    <w:semiHidden/>
    <w:qFormat/>
    <w:rsid w:val="0031409a"/>
    <w:pPr>
      <w:ind w:left="660" w:hanging="220"/>
    </w:pPr>
    <w:rPr/>
  </w:style>
  <w:style w:type="paragraph" w:styleId="Index4">
    <w:name w:val="index 4"/>
    <w:basedOn w:val="Normal"/>
    <w:next w:val="Normal"/>
    <w:autoRedefine/>
    <w:uiPriority w:val="99"/>
    <w:semiHidden/>
    <w:qFormat/>
    <w:rsid w:val="0031409a"/>
    <w:pPr>
      <w:ind w:left="880" w:hanging="220"/>
    </w:pPr>
    <w:rPr/>
  </w:style>
  <w:style w:type="paragraph" w:styleId="Index5">
    <w:name w:val="index 5"/>
    <w:basedOn w:val="Normal"/>
    <w:next w:val="Normal"/>
    <w:autoRedefine/>
    <w:uiPriority w:val="99"/>
    <w:semiHidden/>
    <w:qFormat/>
    <w:rsid w:val="0031409a"/>
    <w:pPr>
      <w:ind w:left="1100" w:hanging="220"/>
    </w:pPr>
    <w:rPr/>
  </w:style>
  <w:style w:type="paragraph" w:styleId="Index6">
    <w:name w:val="index 6"/>
    <w:basedOn w:val="Normal"/>
    <w:next w:val="Normal"/>
    <w:autoRedefine/>
    <w:uiPriority w:val="99"/>
    <w:semiHidden/>
    <w:qFormat/>
    <w:rsid w:val="0031409a"/>
    <w:pPr>
      <w:ind w:left="1320" w:hanging="220"/>
    </w:pPr>
    <w:rPr/>
  </w:style>
  <w:style w:type="paragraph" w:styleId="Index7">
    <w:name w:val="index 7"/>
    <w:basedOn w:val="Normal"/>
    <w:next w:val="Normal"/>
    <w:autoRedefine/>
    <w:uiPriority w:val="99"/>
    <w:semiHidden/>
    <w:qFormat/>
    <w:rsid w:val="0031409a"/>
    <w:pPr>
      <w:ind w:left="1540" w:hanging="220"/>
    </w:pPr>
    <w:rPr/>
  </w:style>
  <w:style w:type="paragraph" w:styleId="Index8">
    <w:name w:val="index 8"/>
    <w:basedOn w:val="Normal"/>
    <w:next w:val="Normal"/>
    <w:autoRedefine/>
    <w:uiPriority w:val="99"/>
    <w:semiHidden/>
    <w:qFormat/>
    <w:rsid w:val="0031409a"/>
    <w:pPr>
      <w:ind w:left="1760" w:hanging="220"/>
    </w:pPr>
    <w:rPr/>
  </w:style>
  <w:style w:type="paragraph" w:styleId="Index9">
    <w:name w:val="index 9"/>
    <w:basedOn w:val="Normal"/>
    <w:next w:val="Normal"/>
    <w:autoRedefine/>
    <w:uiPriority w:val="99"/>
    <w:semiHidden/>
    <w:qFormat/>
    <w:rsid w:val="0031409a"/>
    <w:pPr>
      <w:ind w:left="1980" w:hanging="220"/>
    </w:pPr>
    <w:rPr/>
  </w:style>
  <w:style w:type="paragraph" w:styleId="LetterDate" w:customStyle="1">
    <w:name w:val="Letter Date"/>
    <w:basedOn w:val="Normal"/>
    <w:uiPriority w:val="99"/>
    <w:qFormat/>
    <w:rsid w:val="000e05d0"/>
    <w:pPr>
      <w:tabs>
        <w:tab w:val="left" w:pos="0" w:leader="none"/>
      </w:tabs>
      <w:spacing w:lineRule="atLeast" w:line="360"/>
    </w:pPr>
    <w:rPr/>
  </w:style>
  <w:style w:type="paragraph" w:styleId="LetterHeading" w:customStyle="1">
    <w:name w:val="Letter Heading"/>
    <w:basedOn w:val="Heading0"/>
    <w:uiPriority w:val="99"/>
    <w:qFormat/>
    <w:rsid w:val="000e05d0"/>
    <w:pPr>
      <w:keepNext/>
      <w:keepLines w:val="false"/>
      <w:spacing w:before="120" w:after="240"/>
      <w:jc w:val="both"/>
    </w:pPr>
    <w:rPr>
      <w:sz w:val="22"/>
      <w:szCs w:val="22"/>
    </w:rPr>
  </w:style>
  <w:style w:type="paragraph" w:styleId="LetterText" w:customStyle="1">
    <w:name w:val="Letter Text"/>
    <w:basedOn w:val="TextBody"/>
    <w:uiPriority w:val="99"/>
    <w:qFormat/>
    <w:rsid w:val="000e05d0"/>
    <w:pPr>
      <w:ind w:left="0" w:hanging="0"/>
    </w:pPr>
    <w:rPr>
      <w:spacing w:val="0"/>
    </w:rPr>
  </w:style>
  <w:style w:type="paragraph" w:styleId="ListBullet">
    <w:name w:val="List Bullet"/>
    <w:basedOn w:val="Normal"/>
    <w:uiPriority w:val="99"/>
    <w:qFormat/>
    <w:rsid w:val="000e05d0"/>
    <w:pPr>
      <w:tabs>
        <w:tab w:val="left" w:pos="1492" w:leader="none"/>
      </w:tabs>
      <w:ind w:left="1492" w:hanging="360"/>
    </w:pPr>
    <w:rPr/>
  </w:style>
  <w:style w:type="paragraph" w:styleId="ListBullet2">
    <w:name w:val="List Bullet 2"/>
    <w:basedOn w:val="Normal"/>
    <w:uiPriority w:val="99"/>
    <w:qFormat/>
    <w:rsid w:val="000e05d0"/>
    <w:pPr>
      <w:tabs>
        <w:tab w:val="left" w:pos="360" w:leader="none"/>
      </w:tabs>
      <w:ind w:left="360" w:hanging="360"/>
    </w:pPr>
    <w:rPr/>
  </w:style>
  <w:style w:type="paragraph" w:styleId="ListBullet3">
    <w:name w:val="List Bullet 3"/>
    <w:basedOn w:val="Normal"/>
    <w:uiPriority w:val="99"/>
    <w:qFormat/>
    <w:rsid w:val="000e05d0"/>
    <w:pPr>
      <w:tabs>
        <w:tab w:val="left" w:pos="643" w:leader="none"/>
      </w:tabs>
      <w:ind w:left="643" w:hanging="360"/>
    </w:pPr>
    <w:rPr/>
  </w:style>
  <w:style w:type="paragraph" w:styleId="ListBullet4">
    <w:name w:val="List Bullet 4"/>
    <w:basedOn w:val="Normal"/>
    <w:uiPriority w:val="99"/>
    <w:qFormat/>
    <w:rsid w:val="000e05d0"/>
    <w:pPr>
      <w:tabs>
        <w:tab w:val="left" w:pos="926" w:leader="none"/>
      </w:tabs>
      <w:ind w:left="926" w:hanging="360"/>
    </w:pPr>
    <w:rPr/>
  </w:style>
  <w:style w:type="paragraph" w:styleId="ListBullet5">
    <w:name w:val="List Bullet 5"/>
    <w:basedOn w:val="Normal"/>
    <w:uiPriority w:val="99"/>
    <w:qFormat/>
    <w:rsid w:val="000e05d0"/>
    <w:pPr>
      <w:tabs>
        <w:tab w:val="left" w:pos="1209" w:leader="none"/>
      </w:tabs>
      <w:ind w:left="1209" w:hanging="360"/>
    </w:pPr>
    <w:rPr/>
  </w:style>
  <w:style w:type="paragraph" w:styleId="NormalWeb">
    <w:name w:val="Normal (Web)"/>
    <w:basedOn w:val="Normal"/>
    <w:uiPriority w:val="99"/>
    <w:qFormat/>
    <w:rsid w:val="000e05d0"/>
    <w:pPr/>
    <w:rPr>
      <w:rFonts w:cs="Times New Roman"/>
      <w:sz w:val="24"/>
      <w:szCs w:val="24"/>
    </w:rPr>
  </w:style>
  <w:style w:type="paragraph" w:styleId="PageBreakhack" w:customStyle="1">
    <w:name w:val="Page Break hack"/>
    <w:basedOn w:val="TextBody"/>
    <w:uiPriority w:val="99"/>
    <w:qFormat/>
    <w:rsid w:val="0031409a"/>
    <w:pPr>
      <w:spacing w:lineRule="auto" w:line="240"/>
      <w:ind w:left="1138" w:hanging="0"/>
    </w:pPr>
    <w:rPr>
      <w:sz w:val="2"/>
      <w:szCs w:val="2"/>
    </w:rPr>
  </w:style>
  <w:style w:type="paragraph" w:styleId="Smallprint" w:customStyle="1">
    <w:name w:val="Small print"/>
    <w:basedOn w:val="TextBody"/>
    <w:uiPriority w:val="99"/>
    <w:qFormat/>
    <w:rsid w:val="000e05d0"/>
    <w:pPr>
      <w:jc w:val="left"/>
    </w:pPr>
    <w:rPr>
      <w:sz w:val="16"/>
      <w:szCs w:val="16"/>
    </w:rPr>
  </w:style>
  <w:style w:type="paragraph" w:styleId="Subtitle">
    <w:name w:val="Subtitle"/>
    <w:basedOn w:val="Normal"/>
    <w:link w:val="SubtitleChar"/>
    <w:uiPriority w:val="99"/>
    <w:qFormat/>
    <w:rsid w:val="000e05d0"/>
    <w:pPr>
      <w:spacing w:before="240" w:after="60"/>
      <w:jc w:val="center"/>
      <w:outlineLvl w:val="1"/>
    </w:pPr>
    <w:rPr>
      <w:sz w:val="24"/>
      <w:szCs w:val="24"/>
    </w:rPr>
  </w:style>
  <w:style w:type="paragraph" w:styleId="TableText" w:customStyle="1">
    <w:name w:val="Table Text"/>
    <w:basedOn w:val="Normal"/>
    <w:qFormat/>
    <w:rsid w:val="0031409a"/>
    <w:pPr>
      <w:spacing w:lineRule="auto" w:line="240" w:before="60" w:after="60"/>
      <w:jc w:val="left"/>
    </w:pPr>
    <w:rPr>
      <w:sz w:val="20"/>
      <w:szCs w:val="20"/>
    </w:rPr>
  </w:style>
  <w:style w:type="paragraph" w:styleId="TableBullet" w:customStyle="1">
    <w:name w:val="Table Bullet"/>
    <w:basedOn w:val="TableText"/>
    <w:uiPriority w:val="99"/>
    <w:qFormat/>
    <w:rsid w:val="0031409a"/>
    <w:pPr>
      <w:keepLines/>
      <w:tabs>
        <w:tab w:val="left" w:pos="284" w:leader="none"/>
        <w:tab w:val="left" w:pos="1209" w:leader="none"/>
        <w:tab w:val="left" w:pos="1531" w:leader="none"/>
      </w:tabs>
      <w:ind w:left="284" w:hanging="284"/>
    </w:pPr>
    <w:rPr/>
  </w:style>
  <w:style w:type="paragraph" w:styleId="Tableoffigures">
    <w:name w:val="table of figures"/>
    <w:basedOn w:val="Normal"/>
    <w:next w:val="Normal"/>
    <w:uiPriority w:val="99"/>
    <w:semiHidden/>
    <w:qFormat/>
    <w:rsid w:val="0031409a"/>
    <w:pPr>
      <w:tabs>
        <w:tab w:val="right" w:pos="9639" w:leader="dot"/>
      </w:tabs>
      <w:spacing w:before="240" w:after="120"/>
    </w:pPr>
    <w:rPr/>
  </w:style>
  <w:style w:type="paragraph" w:styleId="TableTextBold" w:customStyle="1">
    <w:name w:val="Table Text Bold"/>
    <w:basedOn w:val="TableText"/>
    <w:uiPriority w:val="99"/>
    <w:qFormat/>
    <w:rsid w:val="0031409a"/>
    <w:pPr/>
    <w:rPr>
      <w:b/>
      <w:bCs/>
    </w:rPr>
  </w:style>
  <w:style w:type="paragraph" w:styleId="BodyText21" w:customStyle="1">
    <w:name w:val="Body Text 21"/>
    <w:basedOn w:val="TextBody"/>
    <w:uiPriority w:val="99"/>
    <w:qFormat/>
    <w:rsid w:val="0031409a"/>
    <w:pPr>
      <w:jc w:val="left"/>
    </w:pPr>
    <w:rPr>
      <w:sz w:val="16"/>
      <w:szCs w:val="16"/>
    </w:rPr>
  </w:style>
  <w:style w:type="paragraph" w:styleId="TableXML" w:customStyle="1">
    <w:name w:val="Table XML"/>
    <w:basedOn w:val="TableText"/>
    <w:uiPriority w:val="99"/>
    <w:qFormat/>
    <w:rsid w:val="000e05d0"/>
    <w:pPr/>
    <w:rPr>
      <w:rFonts w:ascii="Courier New" w:hAnsi="Courier New" w:cs="Courier New"/>
      <w:b/>
      <w:bCs/>
      <w:sz w:val="18"/>
      <w:szCs w:val="18"/>
    </w:rPr>
  </w:style>
  <w:style w:type="paragraph" w:styleId="TemplateInstruction" w:customStyle="1">
    <w:name w:val="Template Instruction"/>
    <w:basedOn w:val="TextBody"/>
    <w:uiPriority w:val="99"/>
    <w:qFormat/>
    <w:rsid w:val="0031409a"/>
    <w:pPr>
      <w:ind w:left="1418" w:right="567" w:hanging="0"/>
    </w:pPr>
    <w:rPr>
      <w:color w:val="800080"/>
      <w:sz w:val="20"/>
      <w:szCs w:val="20"/>
    </w:rPr>
  </w:style>
  <w:style w:type="paragraph" w:styleId="TOCbase" w:customStyle="1">
    <w:name w:val="TOC base"/>
    <w:basedOn w:val="Normal"/>
    <w:next w:val="Normal"/>
    <w:uiPriority w:val="99"/>
    <w:qFormat/>
    <w:rsid w:val="0031409a"/>
    <w:pPr>
      <w:tabs>
        <w:tab w:val="right" w:pos="9639" w:leader="dot"/>
      </w:tabs>
      <w:spacing w:before="60" w:after="60"/>
    </w:pPr>
    <w:rPr/>
  </w:style>
  <w:style w:type="paragraph" w:styleId="Contents1">
    <w:name w:val="Contents 1"/>
    <w:basedOn w:val="TOCbase"/>
    <w:autoRedefine/>
    <w:uiPriority w:val="39"/>
    <w:rsid w:val="0031409a"/>
    <w:pPr>
      <w:spacing w:before="240" w:after="120"/>
      <w:ind w:left="340" w:hanging="340"/>
    </w:pPr>
    <w:rPr/>
  </w:style>
  <w:style w:type="paragraph" w:styleId="Contents2">
    <w:name w:val="Contents 2"/>
    <w:basedOn w:val="TOCbase"/>
    <w:autoRedefine/>
    <w:uiPriority w:val="39"/>
    <w:rsid w:val="0031409a"/>
    <w:pPr>
      <w:ind w:left="850" w:hanging="510"/>
    </w:pPr>
    <w:rPr/>
  </w:style>
  <w:style w:type="paragraph" w:styleId="Contents3">
    <w:name w:val="Contents 3"/>
    <w:basedOn w:val="TOCbase"/>
    <w:next w:val="Normal"/>
    <w:autoRedefine/>
    <w:uiPriority w:val="39"/>
    <w:rsid w:val="0031409a"/>
    <w:pPr>
      <w:ind w:left="1531" w:hanging="680"/>
    </w:pPr>
    <w:rPr/>
  </w:style>
  <w:style w:type="paragraph" w:styleId="Contents4">
    <w:name w:val="Contents 4"/>
    <w:basedOn w:val="Normal"/>
    <w:next w:val="Normal"/>
    <w:autoRedefine/>
    <w:uiPriority w:val="99"/>
    <w:semiHidden/>
    <w:rsid w:val="0031409a"/>
    <w:pPr>
      <w:ind w:left="660" w:hanging="0"/>
    </w:pPr>
    <w:rPr/>
  </w:style>
  <w:style w:type="paragraph" w:styleId="Contents5">
    <w:name w:val="Contents 5"/>
    <w:basedOn w:val="Normal"/>
    <w:next w:val="Normal"/>
    <w:autoRedefine/>
    <w:uiPriority w:val="99"/>
    <w:semiHidden/>
    <w:rsid w:val="0031409a"/>
    <w:pPr>
      <w:ind w:left="880" w:hanging="0"/>
    </w:pPr>
    <w:rPr/>
  </w:style>
  <w:style w:type="paragraph" w:styleId="Contents6">
    <w:name w:val="Contents 6"/>
    <w:basedOn w:val="Normal"/>
    <w:next w:val="Normal"/>
    <w:autoRedefine/>
    <w:uiPriority w:val="99"/>
    <w:semiHidden/>
    <w:rsid w:val="0031409a"/>
    <w:pPr>
      <w:ind w:left="1100" w:hanging="0"/>
    </w:pPr>
    <w:rPr/>
  </w:style>
  <w:style w:type="paragraph" w:styleId="Contents8">
    <w:name w:val="Contents 8"/>
    <w:basedOn w:val="Normal"/>
    <w:next w:val="Normal"/>
    <w:autoRedefine/>
    <w:uiPriority w:val="99"/>
    <w:semiHidden/>
    <w:rsid w:val="0031409a"/>
    <w:pPr>
      <w:ind w:left="1540" w:hanging="0"/>
    </w:pPr>
    <w:rPr/>
  </w:style>
  <w:style w:type="paragraph" w:styleId="Contents9">
    <w:name w:val="Contents 9"/>
    <w:basedOn w:val="Normal"/>
    <w:next w:val="Normal"/>
    <w:autoRedefine/>
    <w:uiPriority w:val="99"/>
    <w:semiHidden/>
    <w:rsid w:val="0031409a"/>
    <w:pPr>
      <w:ind w:left="1760" w:hanging="0"/>
    </w:pPr>
    <w:rPr/>
  </w:style>
  <w:style w:type="paragraph" w:styleId="VersionControlHeading" w:customStyle="1">
    <w:name w:val="Version Control Heading"/>
    <w:basedOn w:val="Genericheading1"/>
    <w:next w:val="Normal"/>
    <w:uiPriority w:val="99"/>
    <w:qFormat/>
    <w:rsid w:val="0031409a"/>
    <w:pPr>
      <w:pageBreakBefore/>
    </w:pPr>
    <w:rPr/>
  </w:style>
  <w:style w:type="paragraph" w:styleId="XMLLevel1" w:customStyle="1">
    <w:name w:val="XML Level 1"/>
    <w:basedOn w:val="TextBody"/>
    <w:uiPriority w:val="99"/>
    <w:qFormat/>
    <w:rsid w:val="000e05d0"/>
    <w:pPr>
      <w:shd w:val="clear" w:color="auto" w:fill="C0C0C0"/>
      <w:spacing w:lineRule="atLeast" w:line="360"/>
      <w:jc w:val="left"/>
    </w:pPr>
    <w:rPr>
      <w:rFonts w:ascii="Courier New" w:hAnsi="Courier New" w:cs="Courier New"/>
      <w:b/>
      <w:bCs/>
      <w:sz w:val="18"/>
      <w:szCs w:val="18"/>
    </w:rPr>
  </w:style>
  <w:style w:type="paragraph" w:styleId="XMLLevel2" w:customStyle="1">
    <w:name w:val="XML Level 2"/>
    <w:basedOn w:val="XMLLevel1"/>
    <w:uiPriority w:val="99"/>
    <w:qFormat/>
    <w:rsid w:val="000e05d0"/>
    <w:pPr>
      <w:shd w:val="clear" w:fill="C0C0C0"/>
      <w:ind w:left="1418" w:hanging="0"/>
    </w:pPr>
    <w:rPr>
      <w:b w:val="false"/>
      <w:bCs w:val="false"/>
    </w:rPr>
  </w:style>
  <w:style w:type="paragraph" w:styleId="XMLLevel3" w:customStyle="1">
    <w:name w:val="XML Level 3"/>
    <w:basedOn w:val="XMLLevel2"/>
    <w:uiPriority w:val="99"/>
    <w:qFormat/>
    <w:rsid w:val="000e05d0"/>
    <w:pPr>
      <w:shd w:val="clear" w:fill="C0C0C0"/>
      <w:ind w:left="1701" w:hanging="0"/>
    </w:pPr>
    <w:rPr/>
  </w:style>
  <w:style w:type="paragraph" w:styleId="XMLLevel4" w:customStyle="1">
    <w:name w:val="XML Level 4"/>
    <w:basedOn w:val="XMLLevel3"/>
    <w:uiPriority w:val="99"/>
    <w:qFormat/>
    <w:rsid w:val="000e05d0"/>
    <w:pPr>
      <w:shd w:val="clear" w:fill="C0C0C0"/>
      <w:ind w:left="1985" w:hanging="0"/>
    </w:pPr>
    <w:rPr/>
  </w:style>
  <w:style w:type="paragraph" w:styleId="XMLLevel5" w:customStyle="1">
    <w:name w:val="XML Level 5"/>
    <w:basedOn w:val="XMLLevel4"/>
    <w:uiPriority w:val="99"/>
    <w:qFormat/>
    <w:rsid w:val="000e05d0"/>
    <w:pPr>
      <w:shd w:val="clear" w:fill="C0C0C0"/>
      <w:ind w:left="2268" w:hanging="0"/>
    </w:pPr>
    <w:rPr/>
  </w:style>
  <w:style w:type="paragraph" w:styleId="XMLLevel6" w:customStyle="1">
    <w:name w:val="XML Level 6"/>
    <w:basedOn w:val="XMLLevel5"/>
    <w:uiPriority w:val="99"/>
    <w:qFormat/>
    <w:rsid w:val="000e05d0"/>
    <w:pPr>
      <w:shd w:val="clear" w:fill="C0C0C0"/>
      <w:ind w:left="2552" w:hanging="0"/>
    </w:pPr>
    <w:rPr/>
  </w:style>
  <w:style w:type="paragraph" w:styleId="XMLLevel7" w:customStyle="1">
    <w:name w:val="XML Level 7"/>
    <w:basedOn w:val="XMLLevel6"/>
    <w:uiPriority w:val="99"/>
    <w:qFormat/>
    <w:rsid w:val="000e05d0"/>
    <w:pPr>
      <w:shd w:val="clear" w:fill="C0C0C0"/>
      <w:ind w:left="2835" w:hanging="0"/>
    </w:pPr>
    <w:rPr/>
  </w:style>
  <w:style w:type="paragraph" w:styleId="Bullet8" w:customStyle="1">
    <w:name w:val="Bullet 8"/>
    <w:basedOn w:val="Bullet7"/>
    <w:uiPriority w:val="99"/>
    <w:qFormat/>
    <w:rsid w:val="0031409a"/>
    <w:pPr>
      <w:tabs>
        <w:tab w:val="left" w:pos="3175" w:leader="none"/>
      </w:tabs>
    </w:pPr>
    <w:rPr/>
  </w:style>
  <w:style w:type="paragraph" w:styleId="Memoheader" w:customStyle="1">
    <w:name w:val="Memo header"/>
    <w:basedOn w:val="Normal"/>
    <w:uiPriority w:val="99"/>
    <w:qFormat/>
    <w:rsid w:val="0031409a"/>
    <w:pPr>
      <w:tabs>
        <w:tab w:val="left" w:pos="1134" w:leader="none"/>
      </w:tabs>
      <w:spacing w:lineRule="auto" w:line="240"/>
    </w:pPr>
    <w:rPr/>
  </w:style>
  <w:style w:type="paragraph" w:styleId="FaxHeading" w:customStyle="1">
    <w:name w:val="Fax Heading"/>
    <w:basedOn w:val="Memoheader"/>
    <w:uiPriority w:val="99"/>
    <w:qFormat/>
    <w:rsid w:val="0031409a"/>
    <w:pPr>
      <w:spacing w:before="360" w:after="240"/>
      <w:jc w:val="left"/>
    </w:pPr>
    <w:rPr>
      <w:b/>
      <w:bCs/>
      <w:u w:val="single"/>
    </w:rPr>
  </w:style>
  <w:style w:type="paragraph" w:styleId="LetterFooter" w:customStyle="1">
    <w:name w:val="Letter Footer"/>
    <w:basedOn w:val="Header"/>
    <w:uiPriority w:val="99"/>
    <w:qFormat/>
    <w:rsid w:val="0031409a"/>
    <w:pPr>
      <w:spacing w:before="120" w:after="0"/>
      <w:ind w:left="0" w:right="0" w:hanging="0"/>
    </w:pPr>
    <w:rPr>
      <w:color w:val="FFFFFF"/>
      <w:sz w:val="12"/>
      <w:szCs w:val="12"/>
    </w:rPr>
  </w:style>
  <w:style w:type="paragraph" w:styleId="TableBullet2" w:customStyle="1">
    <w:name w:val="Table Bullet 2"/>
    <w:basedOn w:val="TableText"/>
    <w:uiPriority w:val="99"/>
    <w:qFormat/>
    <w:rsid w:val="0031409a"/>
    <w:pPr>
      <w:spacing w:before="0" w:after="0"/>
    </w:pPr>
    <w:rPr>
      <w:sz w:val="16"/>
      <w:szCs w:val="16"/>
    </w:rPr>
  </w:style>
  <w:style w:type="paragraph" w:styleId="TableNumber" w:customStyle="1">
    <w:name w:val="Table Number"/>
    <w:basedOn w:val="TableText"/>
    <w:uiPriority w:val="99"/>
    <w:qFormat/>
    <w:rsid w:val="0031409a"/>
    <w:pPr/>
    <w:rPr/>
  </w:style>
  <w:style w:type="paragraph" w:styleId="ListParagraph">
    <w:name w:val="List Paragraph"/>
    <w:basedOn w:val="Normal"/>
    <w:uiPriority w:val="34"/>
    <w:qFormat/>
    <w:rsid w:val="00d63e9a"/>
    <w:pPr>
      <w:ind w:left="720" w:hanging="0"/>
    </w:pPr>
    <w:rPr/>
  </w:style>
  <w:style w:type="paragraph" w:styleId="NoSpacing">
    <w:name w:val="No Spacing"/>
    <w:uiPriority w:val="1"/>
    <w:qFormat/>
    <w:rsid w:val="0058619c"/>
    <w:pPr>
      <w:widowControl/>
      <w:suppressAutoHyphens w:val="true"/>
      <w:bidi w:val="0"/>
      <w:jc w:val="both"/>
    </w:pPr>
    <w:rPr>
      <w:rFonts w:ascii="Century Gothic" w:hAnsi="Century Gothic" w:eastAsia="Times New Roman" w:cs="Century Gothic"/>
      <w:color w:val="00000A"/>
      <w:sz w:val="22"/>
      <w:szCs w:val="22"/>
      <w:lang w:val="en-ZA" w:eastAsia="en-US" w:bidi="ar-SA"/>
    </w:rPr>
  </w:style>
  <w:style w:type="paragraph" w:styleId="Annotationtext">
    <w:name w:val="annotation text"/>
    <w:basedOn w:val="Normal"/>
    <w:link w:val="CommentTextChar"/>
    <w:uiPriority w:val="99"/>
    <w:semiHidden/>
    <w:unhideWhenUsed/>
    <w:qFormat/>
    <w:locked/>
    <w:rsid w:val="001a36e2"/>
    <w:pPr>
      <w:spacing w:lineRule="auto" w:line="240"/>
    </w:pPr>
    <w:rPr>
      <w:sz w:val="24"/>
      <w:szCs w:val="24"/>
    </w:rPr>
  </w:style>
  <w:style w:type="paragraph" w:styleId="Annotationsubject">
    <w:name w:val="annotation subject"/>
    <w:basedOn w:val="Annotationtext"/>
    <w:link w:val="CommentSubjectChar"/>
    <w:uiPriority w:val="99"/>
    <w:semiHidden/>
    <w:unhideWhenUsed/>
    <w:qFormat/>
    <w:locked/>
    <w:rsid w:val="001a36e2"/>
    <w:pPr/>
    <w:rPr>
      <w:b/>
      <w:bCs/>
      <w:sz w:val="20"/>
      <w:szCs w:val="20"/>
    </w:rPr>
  </w:style>
  <w:style w:type="paragraph" w:styleId="FrontPageInfo" w:customStyle="1">
    <w:name w:val="Front Page Info"/>
    <w:basedOn w:val="Normal"/>
    <w:qFormat/>
    <w:rsid w:val="005f6f5f"/>
    <w:pPr>
      <w:tabs>
        <w:tab w:val="right" w:pos="5760" w:leader="none"/>
        <w:tab w:val="left" w:pos="6480" w:leader="none"/>
      </w:tabs>
      <w:overflowPunct w:val="false"/>
      <w:spacing w:lineRule="auto" w:line="240" w:before="0" w:after="0"/>
    </w:pPr>
    <w:rPr>
      <w:rFonts w:ascii="Arial" w:hAnsi="Arial" w:cs="Times New Roman"/>
      <w:sz w:val="24"/>
      <w:szCs w:val="20"/>
      <w:lang w:val="en-US"/>
    </w:rPr>
  </w:style>
  <w:style w:type="paragraph" w:styleId="Red" w:customStyle="1">
    <w:name w:val="Red"/>
    <w:basedOn w:val="Normal"/>
    <w:qFormat/>
    <w:rsid w:val="005f6f5f"/>
    <w:pPr>
      <w:overflowPunct w:val="false"/>
      <w:spacing w:lineRule="auto" w:line="240" w:before="0" w:after="0"/>
      <w:jc w:val="left"/>
    </w:pPr>
    <w:rPr>
      <w:rFonts w:ascii="Arial" w:hAnsi="Arial" w:cs="Times New Roman"/>
      <w:color w:val="FF0000"/>
      <w:sz w:val="20"/>
      <w:szCs w:val="20"/>
      <w:lang w:val="en-US"/>
    </w:rPr>
  </w:style>
  <w:style w:type="paragraph" w:styleId="PrefaceText" w:customStyle="1">
    <w:name w:val="Preface Text"/>
    <w:basedOn w:val="Normal"/>
    <w:qFormat/>
    <w:rsid w:val="005f6f5f"/>
    <w:pPr>
      <w:overflowPunct w:val="false"/>
      <w:spacing w:lineRule="auto" w:line="240" w:before="0" w:after="0"/>
      <w:jc w:val="left"/>
    </w:pPr>
    <w:rPr>
      <w:rFonts w:ascii="Helv" w:hAnsi="Helv" w:cs="Times New Roman"/>
      <w:sz w:val="20"/>
      <w:szCs w:val="20"/>
      <w:lang w:val="en-US"/>
    </w:rPr>
  </w:style>
  <w:style w:type="paragraph" w:styleId="PrefaceHeading" w:customStyle="1">
    <w:name w:val="Preface Heading"/>
    <w:basedOn w:val="Heading1"/>
    <w:qFormat/>
    <w:rsid w:val="005f6f5f"/>
    <w:pPr>
      <w:keepNext/>
      <w:keepLines w:val="false"/>
      <w:overflowPunct w:val="false"/>
      <w:spacing w:before="0" w:after="120"/>
      <w:ind w:left="0" w:hanging="0"/>
      <w:jc w:val="left"/>
    </w:pPr>
    <w:rPr>
      <w:rFonts w:ascii="Helv" w:hAnsi="Helv" w:cs="Times New Roman"/>
      <w:bCs w:val="false"/>
      <w:sz w:val="24"/>
      <w:szCs w:val="20"/>
      <w:lang w:val="en-GB"/>
    </w:rPr>
  </w:style>
  <w:style w:type="paragraph" w:styleId="MacroBut" w:customStyle="1">
    <w:name w:val="MacroBut"/>
    <w:basedOn w:val="Normal"/>
    <w:qFormat/>
    <w:rsid w:val="005f6f5f"/>
    <w:pPr>
      <w:pBdr>
        <w:top w:val="single" w:sz="18" w:space="2" w:color="FF0000" w:shadow="1"/>
        <w:left w:val="single" w:sz="18" w:space="2" w:color="FF0000" w:shadow="1"/>
        <w:bottom w:val="single" w:sz="18" w:space="2" w:color="FF0000" w:shadow="1"/>
        <w:right w:val="single" w:sz="18" w:space="2" w:color="FF0000" w:shadow="1"/>
      </w:pBdr>
      <w:shd w:val="pct10" w:color="000000" w:fill="FFFFFF"/>
      <w:overflowPunct w:val="false"/>
      <w:spacing w:lineRule="auto" w:line="240" w:before="0" w:after="0"/>
      <w:ind w:right="5760" w:hanging="0"/>
      <w:jc w:val="center"/>
    </w:pPr>
    <w:rPr>
      <w:rFonts w:ascii="Arial" w:hAnsi="Arial" w:cs="Times New Roman"/>
      <w:b/>
      <w:vanish/>
      <w:sz w:val="20"/>
      <w:szCs w:val="20"/>
      <w:lang w:val="en-US"/>
    </w:rPr>
  </w:style>
  <w:style w:type="paragraph" w:styleId="Appendix" w:customStyle="1">
    <w:name w:val="Appendix"/>
    <w:basedOn w:val="Normal"/>
    <w:next w:val="Normal"/>
    <w:qFormat/>
    <w:rsid w:val="005f6f5f"/>
    <w:pPr>
      <w:pageBreakBefore/>
      <w:overflowPunct w:val="false"/>
      <w:spacing w:lineRule="auto" w:line="240" w:before="0" w:after="240"/>
      <w:ind w:left="2160" w:hanging="2160"/>
      <w:jc w:val="left"/>
    </w:pPr>
    <w:rPr>
      <w:rFonts w:ascii="Arial" w:hAnsi="Arial" w:cs="Times New Roman"/>
      <w:b/>
      <w:sz w:val="32"/>
      <w:szCs w:val="20"/>
      <w:lang w:val="en-US"/>
    </w:rPr>
  </w:style>
  <w:style w:type="paragraph" w:styleId="PageTitle" w:customStyle="1">
    <w:name w:val="PageTitle"/>
    <w:basedOn w:val="Normal"/>
    <w:qFormat/>
    <w:rsid w:val="005f6f5f"/>
    <w:pPr>
      <w:overflowPunct w:val="false"/>
      <w:spacing w:lineRule="auto" w:line="240" w:before="0" w:after="0"/>
      <w:jc w:val="center"/>
    </w:pPr>
    <w:rPr>
      <w:rFonts w:ascii="Arial" w:hAnsi="Arial" w:cs="Times New Roman"/>
      <w:b/>
      <w:color w:val="000000"/>
      <w:sz w:val="32"/>
      <w:szCs w:val="20"/>
      <w:lang w:val="en-US"/>
    </w:rPr>
  </w:style>
  <w:style w:type="paragraph" w:styleId="ExampleBox" w:customStyle="1">
    <w:name w:val="ExampleBox"/>
    <w:basedOn w:val="Normal"/>
    <w:qFormat/>
    <w:rsid w:val="005f6f5f"/>
    <w:pPr>
      <w:pBdr>
        <w:top w:val="double" w:sz="6" w:space="1" w:color="FF00FF" w:shadow="1"/>
        <w:left w:val="double" w:sz="6" w:space="1" w:color="FF00FF" w:shadow="1"/>
        <w:bottom w:val="double" w:sz="6" w:space="1" w:color="FF00FF" w:shadow="1"/>
        <w:right w:val="double" w:sz="6" w:space="1" w:color="FF00FF" w:shadow="1"/>
      </w:pBdr>
      <w:shd w:val="pct5" w:color="000000" w:fill="FFFFFF"/>
      <w:overflowPunct w:val="false"/>
      <w:spacing w:lineRule="auto" w:line="240" w:before="120" w:after="120"/>
      <w:jc w:val="left"/>
    </w:pPr>
    <w:rPr>
      <w:rFonts w:ascii="Arial" w:hAnsi="Arial" w:cs="Times New Roman"/>
      <w:vanish/>
      <w:color w:val="0000FF"/>
      <w:szCs w:val="20"/>
      <w:lang w:val="en-US"/>
    </w:rPr>
  </w:style>
  <w:style w:type="paragraph" w:styleId="Author" w:customStyle="1">
    <w:name w:val="*Author"/>
    <w:basedOn w:val="FrontPageInfo"/>
    <w:qFormat/>
    <w:rsid w:val="005f6f5f"/>
    <w:pPr>
      <w:jc w:val="left"/>
    </w:pPr>
    <w:rPr/>
  </w:style>
  <w:style w:type="paragraph" w:styleId="Version" w:customStyle="1">
    <w:name w:val="*Version"/>
    <w:basedOn w:val="FrontPageInfo"/>
    <w:qFormat/>
    <w:rsid w:val="005f6f5f"/>
    <w:pPr>
      <w:jc w:val="left"/>
    </w:pPr>
    <w:rPr/>
  </w:style>
  <w:style w:type="paragraph" w:styleId="DocumentName" w:customStyle="1">
    <w:name w:val="*Document Name"/>
    <w:basedOn w:val="Normal"/>
    <w:qFormat/>
    <w:rsid w:val="005f6f5f"/>
    <w:pPr>
      <w:pBdr>
        <w:bottom w:val="single" w:sz="18" w:space="1" w:color="00000A"/>
      </w:pBdr>
      <w:shd w:val="pct5" w:color="000000" w:fill="FFFFFF"/>
      <w:overflowPunct w:val="false"/>
      <w:spacing w:lineRule="auto" w:line="240" w:before="0" w:after="0"/>
      <w:jc w:val="right"/>
    </w:pPr>
    <w:rPr>
      <w:rFonts w:ascii="Arial" w:hAnsi="Arial" w:cs="Times New Roman"/>
      <w:b/>
      <w:sz w:val="56"/>
      <w:szCs w:val="20"/>
      <w:lang w:val="en-US"/>
    </w:rPr>
  </w:style>
  <w:style w:type="paragraph" w:styleId="ProjectName" w:customStyle="1">
    <w:name w:val="*Project Name"/>
    <w:basedOn w:val="Title"/>
    <w:qFormat/>
    <w:rsid w:val="005f6f5f"/>
    <w:pPr>
      <w:shd w:val="pct5" w:color="000000" w:fill="FFFFFF"/>
      <w:overflowPunct w:val="false"/>
      <w:spacing w:lineRule="auto" w:line="240" w:before="0" w:after="0"/>
      <w:jc w:val="right"/>
    </w:pPr>
    <w:rPr>
      <w:rFonts w:ascii="Arial" w:hAnsi="Arial" w:cs="Times New Roman"/>
      <w:bCs w:val="false"/>
      <w:sz w:val="56"/>
      <w:szCs w:val="20"/>
      <w:lang w:val="en-US"/>
    </w:rPr>
  </w:style>
  <w:style w:type="paragraph" w:styleId="OrganizationName" w:customStyle="1">
    <w:name w:val="*Organization Name"/>
    <w:basedOn w:val="Normal"/>
    <w:qFormat/>
    <w:rsid w:val="005f6f5f"/>
    <w:pPr>
      <w:pBdr>
        <w:top w:val="single" w:sz="18" w:space="1" w:color="00000A"/>
      </w:pBdr>
      <w:shd w:val="pct5" w:color="000000" w:fill="FFFFFF"/>
      <w:overflowPunct w:val="false"/>
      <w:spacing w:lineRule="auto" w:line="240" w:before="360" w:after="0"/>
      <w:jc w:val="right"/>
    </w:pPr>
    <w:rPr>
      <w:rFonts w:ascii="Arial" w:hAnsi="Arial" w:cs="Times New Roman"/>
      <w:b/>
      <w:sz w:val="56"/>
      <w:szCs w:val="20"/>
      <w:lang w:val="en-US"/>
    </w:rPr>
  </w:style>
  <w:style w:type="paragraph" w:styleId="Date" w:customStyle="1">
    <w:name w:val="*Date"/>
    <w:basedOn w:val="FrontPageInfo"/>
    <w:qFormat/>
    <w:rsid w:val="005f6f5f"/>
    <w:pPr>
      <w:jc w:val="left"/>
    </w:pPr>
    <w:rPr/>
  </w:style>
  <w:style w:type="paragraph" w:styleId="Sponsor" w:customStyle="1">
    <w:name w:val="*Sponsor"/>
    <w:basedOn w:val="FrontPageInfo"/>
    <w:qFormat/>
    <w:rsid w:val="005f6f5f"/>
    <w:pPr>
      <w:jc w:val="left"/>
    </w:pPr>
    <w:rPr/>
  </w:style>
  <w:style w:type="paragraph" w:styleId="CustomerRep" w:customStyle="1">
    <w:name w:val="*Customer Rep"/>
    <w:basedOn w:val="FrontPageInfo"/>
    <w:qFormat/>
    <w:rsid w:val="005f6f5f"/>
    <w:pPr>
      <w:jc w:val="left"/>
    </w:pPr>
    <w:rPr/>
  </w:style>
  <w:style w:type="paragraph" w:styleId="TechnicalRep" w:customStyle="1">
    <w:name w:val="*Technical Rep"/>
    <w:basedOn w:val="FrontPageInfo"/>
    <w:qFormat/>
    <w:rsid w:val="005f6f5f"/>
    <w:pPr>
      <w:jc w:val="left"/>
    </w:pPr>
    <w:rPr/>
  </w:style>
  <w:style w:type="paragraph" w:styleId="ContentsHeading">
    <w:name w:val="Contents Heading"/>
    <w:basedOn w:val="Heading1"/>
    <w:next w:val="Normal"/>
    <w:uiPriority w:val="39"/>
    <w:unhideWhenUsed/>
    <w:qFormat/>
    <w:rsid w:val="007b5c48"/>
    <w:pPr>
      <w:spacing w:lineRule="auto" w:line="259" w:before="0" w:after="0"/>
      <w:ind w:left="0" w:hanging="0"/>
      <w:jc w:val="left"/>
    </w:pPr>
    <w:rPr>
      <w:rFonts w:ascii="Cambria" w:hAnsi="Cambria" w:eastAsia="ＭＳ ゴシック" w:cs="" w:asciiTheme="majorHAnsi" w:cstheme="majorBidi" w:eastAsiaTheme="majorEastAsia" w:hAnsiTheme="majorHAnsi"/>
      <w:b w:val="false"/>
      <w:bCs w:val="false"/>
      <w:color w:val="365F91" w:themeColor="accent1" w:themeShade="bf"/>
      <w:sz w:val="32"/>
      <w:szCs w:val="32"/>
      <w:lang w:val="en-US"/>
    </w:rPr>
  </w:style>
  <w:style w:type="paragraph" w:styleId="Default" w:customStyle="1">
    <w:name w:val="Default"/>
    <w:qFormat/>
    <w:rsid w:val="00455426"/>
    <w:pPr>
      <w:widowControl/>
      <w:suppressAutoHyphens w:val="true"/>
      <w:bidi w:val="0"/>
      <w:jc w:val="left"/>
    </w:pPr>
    <w:rPr>
      <w:rFonts w:ascii="Arial" w:hAnsi="Arial" w:eastAsia="Times New Roman" w:cs="Arial"/>
      <w:color w:val="000000"/>
      <w:sz w:val="24"/>
      <w:szCs w:val="24"/>
      <w:lang w:val="en-US" w:eastAsia="en-ZA" w:bidi="ar-SA"/>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87e90"/>
    <w:pPr>
      <w:spacing w:before="240" w:line="36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oleObject" Target="embeddings/oleObject1.bin"/><Relationship Id="rId10" Type="http://schemas.openxmlformats.org/officeDocument/2006/relationships/image" Target="media/image2.emf"/><Relationship Id="rId11" Type="http://schemas.openxmlformats.org/officeDocument/2006/relationships/header" Target="header3.xml"/><Relationship Id="rId12" Type="http://schemas.openxmlformats.org/officeDocument/2006/relationships/footer" Target="footer5.xml"/><Relationship Id="rId13" Type="http://schemas.openxmlformats.org/officeDocument/2006/relationships/oleObject" Target="embeddings/oleObject2.bin"/><Relationship Id="rId14" Type="http://schemas.openxmlformats.org/officeDocument/2006/relationships/image" Target="media/image3.emf"/><Relationship Id="rId15" Type="http://schemas.openxmlformats.org/officeDocument/2006/relationships/header" Target="header4.xml"/><Relationship Id="rId16" Type="http://schemas.openxmlformats.org/officeDocument/2006/relationships/footer" Target="footer6.xml"/><Relationship Id="rId17" Type="http://schemas.openxmlformats.org/officeDocument/2006/relationships/oleObject" Target="embeddings/oleObject3.bin"/><Relationship Id="rId18" Type="http://schemas.openxmlformats.org/officeDocument/2006/relationships/image" Target="media/image4.emf"/><Relationship Id="rId19" Type="http://schemas.openxmlformats.org/officeDocument/2006/relationships/header" Target="header5.xml"/><Relationship Id="rId20" Type="http://schemas.openxmlformats.org/officeDocument/2006/relationships/footer" Target="footer7.xml"/><Relationship Id="rId21" Type="http://schemas.openxmlformats.org/officeDocument/2006/relationships/oleObject" Target="embeddings/oleObject4.bin"/><Relationship Id="rId22" Type="http://schemas.openxmlformats.org/officeDocument/2006/relationships/image" Target="media/image5.emf"/><Relationship Id="rId23" Type="http://schemas.openxmlformats.org/officeDocument/2006/relationships/header" Target="header6.xml"/><Relationship Id="rId24" Type="http://schemas.openxmlformats.org/officeDocument/2006/relationships/footer" Target="footer8.xml"/><Relationship Id="rId25" Type="http://schemas.openxmlformats.org/officeDocument/2006/relationships/header" Target="header7.xml"/><Relationship Id="rId26" Type="http://schemas.openxmlformats.org/officeDocument/2006/relationships/footer" Target="footer9.xml"/><Relationship Id="rId27" Type="http://schemas.openxmlformats.org/officeDocument/2006/relationships/oleObject" Target="embeddings/oleObject5.bin"/><Relationship Id="rId28" Type="http://schemas.openxmlformats.org/officeDocument/2006/relationships/image" Target="media/image6.emf"/><Relationship Id="rId29" Type="http://schemas.openxmlformats.org/officeDocument/2006/relationships/header" Target="header8.xml"/><Relationship Id="rId30" Type="http://schemas.openxmlformats.org/officeDocument/2006/relationships/footer" Target="footer10.xml"/><Relationship Id="rId31" Type="http://schemas.openxmlformats.org/officeDocument/2006/relationships/oleObject" Target="embeddings/oleObject6.bin"/><Relationship Id="rId32" Type="http://schemas.openxmlformats.org/officeDocument/2006/relationships/image" Target="media/image7.emf"/><Relationship Id="rId33" Type="http://schemas.openxmlformats.org/officeDocument/2006/relationships/header" Target="header9.xml"/><Relationship Id="rId34" Type="http://schemas.openxmlformats.org/officeDocument/2006/relationships/footer" Target="footer11.xml"/><Relationship Id="rId35" Type="http://schemas.openxmlformats.org/officeDocument/2006/relationships/oleObject" Target="embeddings/oleObject7.bin"/><Relationship Id="rId36" Type="http://schemas.openxmlformats.org/officeDocument/2006/relationships/image" Target="media/image8.emf"/><Relationship Id="rId37" Type="http://schemas.openxmlformats.org/officeDocument/2006/relationships/header" Target="header10.xml"/><Relationship Id="rId38" Type="http://schemas.openxmlformats.org/officeDocument/2006/relationships/footer" Target="footer12.xml"/><Relationship Id="rId39" Type="http://schemas.openxmlformats.org/officeDocument/2006/relationships/oleObject" Target="embeddings/oleObject8.bin"/><Relationship Id="rId40" Type="http://schemas.openxmlformats.org/officeDocument/2006/relationships/image" Target="media/image9.emf"/><Relationship Id="rId41" Type="http://schemas.openxmlformats.org/officeDocument/2006/relationships/header" Target="header11.xml"/><Relationship Id="rId42" Type="http://schemas.openxmlformats.org/officeDocument/2006/relationships/footer" Target="footer13.xml"/><Relationship Id="rId43" Type="http://schemas.openxmlformats.org/officeDocument/2006/relationships/oleObject" Target="embeddings/oleObject9.bin"/><Relationship Id="rId44" Type="http://schemas.openxmlformats.org/officeDocument/2006/relationships/image" Target="media/image10.emf"/><Relationship Id="rId45" Type="http://schemas.openxmlformats.org/officeDocument/2006/relationships/header" Target="header12.xml"/><Relationship Id="rId46" Type="http://schemas.openxmlformats.org/officeDocument/2006/relationships/footer" Target="footer14.xml"/><Relationship Id="rId47" Type="http://schemas.openxmlformats.org/officeDocument/2006/relationships/oleObject" Target="embeddings/oleObject10.bin"/><Relationship Id="rId48" Type="http://schemas.openxmlformats.org/officeDocument/2006/relationships/image" Target="media/image11.emf"/><Relationship Id="rId49" Type="http://schemas.openxmlformats.org/officeDocument/2006/relationships/header" Target="header13.xml"/><Relationship Id="rId50" Type="http://schemas.openxmlformats.org/officeDocument/2006/relationships/footer" Target="footer15.xml"/><Relationship Id="rId51" Type="http://schemas.openxmlformats.org/officeDocument/2006/relationships/oleObject" Target="embeddings/oleObject11.bin"/><Relationship Id="rId52" Type="http://schemas.openxmlformats.org/officeDocument/2006/relationships/image" Target="media/image12.emf"/><Relationship Id="rId53" Type="http://schemas.openxmlformats.org/officeDocument/2006/relationships/header" Target="header14.xml"/><Relationship Id="rId54" Type="http://schemas.openxmlformats.org/officeDocument/2006/relationships/footer" Target="footer16.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1F7D82-17E9-4703-B579-0F9A3B2CE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Srint Run 26 Memo</Template>
  <TotalTime>11</TotalTime>
  <Application>LibreOffice/4.4.3.2$Linux_X86_64 LibreOffice_project/40m0$Build-2</Application>
  <Paragraphs>482</Paragraphs>
  <Company>HealthBridge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2016-01-27T11:19:00Z</dcterms:created>
  <dc:creator>Sameer Harikrishna</dc:creator>
  <dc:language>en-ZA</dc:language>
  <cp:lastModifiedBy>ninjav </cp:lastModifiedBy>
  <cp:lastPrinted>2016-01-19T09:22:00Z</cp:lastPrinted>
  <dcterms:modified xsi:type="dcterms:W3CDTF">2016-03-01T14:16:11Z</dcterms:modified>
  <cp:revision>6</cp:revision>
  <dc:title>Memo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HealthBridge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