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1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15"/>
          <w:position w:val="0"/>
          <w:sz w:val="24"/>
          <w:shd w:fill="auto" w:val="clear"/>
        </w:rPr>
        <w:t xml:space="preserve">Министерство образования Новосибирской области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1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15"/>
          <w:position w:val="0"/>
          <w:sz w:val="24"/>
          <w:shd w:fill="auto" w:val="clear"/>
        </w:rPr>
        <w:t xml:space="preserve">ГБПОУ НСО </w:t>
      </w:r>
      <w:r>
        <w:rPr>
          <w:rFonts w:ascii="Times New Roman" w:hAnsi="Times New Roman" w:cs="Times New Roman" w:eastAsia="Times New Roman"/>
          <w:color w:val="000000"/>
          <w:spacing w:val="15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15"/>
          <w:position w:val="0"/>
          <w:sz w:val="24"/>
          <w:shd w:fill="auto" w:val="clear"/>
        </w:rPr>
        <w:t xml:space="preserve">Новосибирский авиационный технический колледж имени Б.С.Галущака</w:t>
      </w:r>
      <w:r>
        <w:rPr>
          <w:rFonts w:ascii="Times New Roman" w:hAnsi="Times New Roman" w:cs="Times New Roman" w:eastAsia="Times New Roman"/>
          <w:color w:val="000000"/>
          <w:spacing w:val="15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3005"/>
        <w:gridCol w:w="3005"/>
        <w:gridCol w:w="3005"/>
      </w:tblGrid>
      <w:tr>
        <w:trPr>
          <w:trHeight w:val="300" w:hRule="auto"/>
          <w:jc w:val="left"/>
        </w:trPr>
        <w:tc>
          <w:tcPr>
            <w:tcW w:w="30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Председатель цикловой комиссии по специальности УГС 09.00.00Информатика и вычислительная техника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5A5A5A"/>
                <w:spacing w:val="15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_____</w:t>
            </w: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О.О.Чекушкина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5A5A5A"/>
                <w:spacing w:val="15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Протокол </w:t>
            </w:r>
            <w:r>
              <w:rPr>
                <w:rFonts w:ascii="Segoe UI Symbol" w:hAnsi="Segoe UI Symbol" w:cs="Segoe UI Symbol" w:eastAsia="Segoe UI Symbol"/>
                <w:color w:val="5A5A5A"/>
                <w:spacing w:val="15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 __ </w:t>
            </w: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от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«___»____________20____</w:t>
            </w: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г</w:t>
            </w:r>
          </w:p>
        </w:tc>
        <w:tc>
          <w:tcPr>
            <w:tcW w:w="30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Председатель цикловой комиссии по специальности УГС 09.00.00Информатика и вычислительная техника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5A5A5A"/>
                <w:spacing w:val="15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_____</w:t>
            </w: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О.О.Чекушкина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5A5A5A"/>
                <w:spacing w:val="15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Протокол </w:t>
            </w:r>
            <w:r>
              <w:rPr>
                <w:rFonts w:ascii="Segoe UI Symbol" w:hAnsi="Segoe UI Symbol" w:cs="Segoe UI Symbol" w:eastAsia="Segoe UI Symbol"/>
                <w:color w:val="5A5A5A"/>
                <w:spacing w:val="15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 __ </w:t>
            </w: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от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«___»____________20____</w:t>
            </w: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г</w:t>
            </w:r>
          </w:p>
        </w:tc>
        <w:tc>
          <w:tcPr>
            <w:tcW w:w="30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Председатель цикловой комиссии по специальности УГС 09.00.00Информатика и вычислительная техника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5A5A5A"/>
                <w:spacing w:val="15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_____</w:t>
            </w: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О.О.Чекушкина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5A5A5A"/>
                <w:spacing w:val="15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Протокол </w:t>
            </w:r>
            <w:r>
              <w:rPr>
                <w:rFonts w:ascii="Segoe UI Symbol" w:hAnsi="Segoe UI Symbol" w:cs="Segoe UI Symbol" w:eastAsia="Segoe UI Symbol"/>
                <w:color w:val="5A5A5A"/>
                <w:spacing w:val="15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 __ </w:t>
            </w: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от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«___»____________20____</w:t>
            </w:r>
            <w:r>
              <w:rPr>
                <w:rFonts w:ascii="Times New Roman" w:hAnsi="Times New Roman" w:cs="Times New Roman" w:eastAsia="Times New Roman"/>
                <w:color w:val="5A5A5A"/>
                <w:spacing w:val="15"/>
                <w:position w:val="0"/>
                <w:sz w:val="24"/>
                <w:shd w:fill="auto" w:val="clear"/>
              </w:rPr>
              <w:t xml:space="preserve">г </w:t>
            </w:r>
          </w:p>
        </w:tc>
      </w:tr>
    </w:tbl>
    <w:p>
      <w:pPr>
        <w:tabs>
          <w:tab w:val="left" w:pos="361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361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17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Самостоятельная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5 </w:t>
      </w:r>
    </w:p>
    <w:p>
      <w:pPr>
        <w:spacing w:before="0" w:after="200" w:line="240"/>
        <w:ind w:right="170" w:left="0" w:firstLine="567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Добавление библиотек к проекту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Междисциплинарный курс: МДК.01.03 Разработка мобильных приложений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Специальность: 09.02.07 Информационные системы и программирование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666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Разработал: </w:t>
      </w:r>
    </w:p>
    <w:p>
      <w:pPr>
        <w:spacing w:before="0" w:after="200" w:line="276"/>
        <w:ind w:right="0" w:left="666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Ефименко Егор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2023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Создание проекта в Android Studio</w:t>
      </w:r>
      <w:r>
        <w:object w:dxaOrig="6912" w:dyaOrig="4982">
          <v:rect xmlns:o="urn:schemas-microsoft-com:office:office" xmlns:v="urn:schemas-microsoft-com:vml" id="rectole0000000000" style="width:345.600000pt;height:24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Подключение библиотек.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плагинах нужные нам библиотеки отсутствуют, поэтому подключим их через код в файле build.gradle.kts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3542">
          <v:rect xmlns:o="urn:schemas-microsoft-com:office:office" xmlns:v="urn:schemas-microsoft-com:vml" id="rectole0000000001" style="width:345.600000pt;height:177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3600">
          <v:rect xmlns:o="urn:schemas-microsoft-com:office:office" xmlns:v="urn:schemas-microsoft-com:vml" id="rectole0000000002" style="width:345.600000pt;height:18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Назначение библиотек: 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Библиотека Retrofit предназначена для создания REST API клиентов в Android приложениях. Она упрощает процесс отправки HTTP запросов, обработки ответов и преобразования их в объекты Java. Retrofit может автоматически генерировать прокси-классы для различных API, что облегчает использование RESTful веб-сервисов в приложении.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Библиотека AChartEngine предназначена для визуализации данных с помощью диаграмм и графиков на Android-устройствах. Она позволяет создавать различные типы диаграмм, такие как столбчатые, линейные, площадные, смешанные и другие. AChartEngine предоставляет простой и удобный API для работы с данными и настройки внешнего вида диаграмм.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Библиотека Room предназначена для работы с локальными базами данных в Android-приложениях. Она упрощает процесс работы с SQLite, предоставляя объектно-ориентированный API для манипуляции данными. С помощью Room можно создавать объекты данных, запросы к базе, а также выполнять миграцию схемы базы данных без ручного написания SQL-запросов.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Библиотека Goldfinger (ранее известная как ButterKnife) предназначена для упрощения связывания данных (data binding) в Android-проектах. Она позволяет быстро и легко привязывать данные из объектов к элементам пользовательского интерфейса, таким как кнопки, текстовые поля и т.д. С помощью Goldfinger можно избежать написания большого количества кода для обработки событий и работы с ресурсами.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Библиотека DBInspector предназначена для отладки и просмотра содержимого SQLite баз данных на Android-устройстве. Она предоставляет возможность просматривать таблицы, поля, записи, а также редактировать и добавлять новые данные. DBInspector позволяет быстро находить и исправлять ошибки в базе данных, а также анализировать ее структуру и содержимое.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Контрольные вопросы:</w:t>
      </w:r>
    </w:p>
    <w:p>
      <w:pPr>
        <w:numPr>
          <w:ilvl w:val="0"/>
          <w:numId w:val="20"/>
        </w:numPr>
        <w:tabs>
          <w:tab w:val="left" w:pos="789" w:leader="none"/>
        </w:tabs>
        <w:spacing w:before="0" w:after="0" w:line="274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Классификация библиотек по их назначению и возможности их подключения.</w:t>
      </w:r>
    </w:p>
    <w:p>
      <w:pPr>
        <w:tabs>
          <w:tab w:val="left" w:pos="789" w:leader="none"/>
        </w:tabs>
        <w:spacing w:before="0" w:after="0" w:line="274"/>
        <w:ind w:right="0" w:left="-4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назначению библиотеки можно разделить на несколько категорий: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Системные библиотеки: они являются частью операционной системы или программного обеспечения, предоставляя функциональность для выполнения основных операций. Обычно они подключаются автоматически при использовании соответствующего программного обеспечения. 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Библиотеки для разработки: это библиотеки, которые предоставляют дополнительные инструменты и функции для создания программного обеспечения. Они обычно подключаются к проекту с помощью менеджера пакетов или путем ручной установки. 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Библиотеки машинного обучения и искусственного интеллекта: это специализированные библиотеки, которые используются для разработки алгоритмов машинного обучения и приложений ИИ. Они часто требуют установки и подключения к проекту.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Безопасность использования библиотек в Android Studio зависит от нескольких факторов. Во-первых, необходимо использовать только проверенные и доверенные библиотеки из надежных источников, таких как официальный репозиторий JCenter или Google Repository. Во-вторых, следует обновлять библиотеки до последних версий, так как в них могут быть исправлены уязвимости безопасности. В-третьих, необходимо проверять исходные коды библиотек на наличие уязвимостей и исправлять их, если это возможно. В-четвертых, следует использовать безопасные методы кодирования, такие как SSL, для защиты данных пользователя. И, наконец, необходимо регулярно обновлять Android Studio и другие инструменты разработки, чтобы использовать последние исправления безопасности.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Использование библиотеки для построения графиков AChartEngine.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  <w:t xml:space="preserve">Перед использованием библиотеки вам нужно подключить ее к своему проекту в Eclipse. Для этого создайте где-нибудь папку для библиотеки и поместите туда jar файл. Теперь добавьте этот jar в свой project build path. После этого добавьте строку &lt;activity android:name="org.achartengine.GraphicalActivity"/&gt; в файл манифеста вашего проекта.</w:t>
      </w:r>
    </w:p>
    <w:p>
      <w:pPr>
        <w:numPr>
          <w:ilvl w:val="0"/>
          <w:numId w:val="26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  <w:t xml:space="preserve">Создайте и инициализируйте три массива. В первом будут содержаться цвета, во втором - подписи, в третьем - значения.</w:t>
      </w:r>
    </w:p>
    <w:p>
      <w:pPr>
        <w:numPr>
          <w:ilvl w:val="0"/>
          <w:numId w:val="26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  <w:t xml:space="preserve">Создайте объект CategorySeries и загрузите в него массивы строк с подписями и значения. При построении диаграмм будут использоваться именно эти данные.</w:t>
      </w:r>
    </w:p>
    <w:p>
      <w:pPr>
        <w:numPr>
          <w:ilvl w:val="0"/>
          <w:numId w:val="26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  <w:t xml:space="preserve">Создайте объект DefaultRenderer. CategorySeries и DefaultRenderer определены в библиотеке AChartEngine.</w:t>
      </w:r>
    </w:p>
    <w:p>
      <w:pPr>
        <w:numPr>
          <w:ilvl w:val="0"/>
          <w:numId w:val="26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  <w:t xml:space="preserve">Для каждого цвета в диаграмме создайте SimpleSeriesRenderer и установите его в этот цвет. Затем каждый SimpleSeriesRenderer добавьте в DefaultRenderer. Таким образом, имеем один Render на каждый Series. К слову, Render может включать другой Render, таким образом можно создавать подкатегории.</w:t>
      </w:r>
    </w:p>
    <w:p>
      <w:pPr>
        <w:numPr>
          <w:ilvl w:val="0"/>
          <w:numId w:val="26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  <w:t xml:space="preserve">Создайте объект PieChartIntent и передайте ему CategorySeries и DefaultRenderer.</w:t>
      </w:r>
    </w:p>
    <w:p>
      <w:pPr>
        <w:numPr>
          <w:ilvl w:val="0"/>
          <w:numId w:val="2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4"/>
          <w:shd w:fill="auto" w:val="clear"/>
        </w:rPr>
        <w:t xml:space="preserve">С помощью PieChartIntent можно показать диаграмму, как отдельную деятельность.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4">
    <w:abstractNumId w:val="30"/>
  </w: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