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60.jpg" ContentType="image/jpeg"/>
  <Override PartName="/word/media/rId64.jpg" ContentType="image/jpeg"/>
  <Override PartName="/word/media/rId68.jpg" ContentType="image/jpeg"/>
  <Override PartName="/word/media/rId72.jpg" ContentType="image/jpeg"/>
  <Override PartName="/word/media/rId76.jpg" ContentType="image/jpeg"/>
  <Override PartName="/word/media/rId80.jpg" ContentType="image/jpeg"/>
  <Override PartName="/word/media/rId84.jpg" ContentType="image/jpeg"/>
  <Override PartName="/word/media/rId88.jpg" ContentType="image/jpeg"/>
  <Override PartName="/word/media/rId92.jpg" ContentType="image/jpeg"/>
  <Override PartName="/word/media/rId96.jpg" ContentType="image/jpeg"/>
  <Override PartName="/word/media/rId28.jpg" ContentType="image/jpeg"/>
  <Override PartName="/word/media/rId100.jpg" ContentType="image/jpeg"/>
  <Override PartName="/word/media/rId104.jpg" ContentType="image/jpeg"/>
  <Override PartName="/word/media/rId10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№4:</w:t>
      </w:r>
      <w:r>
        <w:t xml:space="preserve"> </w:t>
      </w: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Ибатулина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Эдуардовна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синтаксисом языка разметки Markdown (оформление списков, заголовков и их уровней, курсивного и жирного выделения текста, изображений и гиперссылок, компиляция файлов);</w:t>
      </w:r>
    </w:p>
    <w:p>
      <w:pPr>
        <w:numPr>
          <w:ilvl w:val="0"/>
          <w:numId w:val="1001"/>
        </w:numPr>
        <w:pStyle w:val="Compact"/>
      </w:pPr>
      <w:r>
        <w:t xml:space="preserve">Установить texlive, pandoc, pandoc-crossref для обработки документов в формате .md;</w:t>
      </w:r>
    </w:p>
    <w:p>
      <w:pPr>
        <w:numPr>
          <w:ilvl w:val="0"/>
          <w:numId w:val="1001"/>
        </w:numPr>
        <w:pStyle w:val="Compact"/>
      </w:pPr>
      <w:r>
        <w:t xml:space="preserve">Скачать изменения из удалённого репозитория;</w:t>
      </w:r>
    </w:p>
    <w:p>
      <w:pPr>
        <w:numPr>
          <w:ilvl w:val="0"/>
          <w:numId w:val="1001"/>
        </w:numPr>
        <w:pStyle w:val="Compact"/>
      </w:pPr>
      <w:r>
        <w:t xml:space="preserve">Открыть и отредактировать отчёты по лабораторным работам №3 и №4 в формате .md (на языке разметки Markdown);</w:t>
      </w:r>
    </w:p>
    <w:p>
      <w:pPr>
        <w:numPr>
          <w:ilvl w:val="0"/>
          <w:numId w:val="1001"/>
        </w:numPr>
        <w:pStyle w:val="Compact"/>
      </w:pPr>
      <w:r>
        <w:t xml:space="preserve">Скомпилировать отчёты по данным работам в форматы .docx и .pdf;</w:t>
      </w:r>
    </w:p>
    <w:p>
      <w:pPr>
        <w:numPr>
          <w:ilvl w:val="0"/>
          <w:numId w:val="1001"/>
        </w:numPr>
        <w:pStyle w:val="Compact"/>
      </w:pPr>
      <w:r>
        <w:t xml:space="preserve">Загрузить изменённые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создания заголовков необходимо использовать следующий шаблон:</w:t>
      </w:r>
      <w:r>
        <w:t xml:space="preserve"> </w:t>
      </w:r>
      <w:r>
        <w:t xml:space="preserve"># + имя заголовка</w:t>
      </w:r>
      <w:r>
        <w:t xml:space="preserve"> </w:t>
      </w:r>
      <w:r>
        <w:t xml:space="preserve">Чтобы создать заголовки разных уровней, нужно поставить количество символов # в соответствии с уровнем заголовка. Например:</w:t>
      </w:r>
      <w:r>
        <w:t xml:space="preserve"> </w:t>
      </w:r>
      <w:r>
        <w:t xml:space="preserve"># This is heading 1</w:t>
      </w:r>
      <w:r>
        <w:t xml:space="preserve"> </w:t>
      </w:r>
      <w:r>
        <w:t xml:space="preserve">## This is heading 2</w:t>
      </w:r>
      <w:r>
        <w:t xml:space="preserve"> </w:t>
      </w:r>
      <w:r>
        <w:t xml:space="preserve">### This is heading 3</w:t>
      </w:r>
      <w:r>
        <w:t xml:space="preserve"> </w:t>
      </w:r>
      <w:r>
        <w:t xml:space="preserve">#### This is heading 4</w:t>
      </w:r>
    </w:p>
    <w:p>
      <w:pPr>
        <w:pStyle w:val="BodyText"/>
      </w:pPr>
      <w:r>
        <w:t xml:space="preserve">Задание полужирного начертания осуществляется путём заключения исходного текста в двойные звёздочки:</w:t>
      </w:r>
    </w:p>
    <w:p>
      <w:pPr>
        <w:pStyle w:val="BodyText"/>
      </w:pPr>
      <w:r>
        <w:rPr>
          <w:bCs/>
          <w:b/>
        </w:rPr>
        <w:t xml:space="preserve">This text is bold</w:t>
      </w:r>
    </w:p>
    <w:p>
      <w:pPr>
        <w:pStyle w:val="BodyText"/>
      </w:pPr>
      <w:r>
        <w:t xml:space="preserve">Выделение курсивом осуществляется путём заключения исходного текста в одинарные звёздочки:</w:t>
      </w:r>
    </w:p>
    <w:p>
      <w:pPr>
        <w:pStyle w:val="BodyText"/>
      </w:pPr>
      <w:r>
        <w:rPr>
          <w:iCs/>
          <w:i/>
        </w:rPr>
        <w:t xml:space="preserve">This text is italic</w:t>
      </w:r>
    </w:p>
    <w:p>
      <w:pPr>
        <w:pStyle w:val="BodyText"/>
      </w:pPr>
      <w:r>
        <w:t xml:space="preserve">Соответственно, для применения и полужирного, и курсивного стилей начертания нужно заключить текст в тройные звёздочки:</w:t>
      </w:r>
    </w:p>
    <w:p>
      <w:pPr>
        <w:pStyle w:val="BodyText"/>
      </w:pPr>
      <w:r>
        <w:rPr>
          <w:iCs/>
          <w:i/>
          <w:bCs/>
          <w:b/>
        </w:rPr>
        <w:t xml:space="preserve">This text is bold and italic at the same time</w:t>
      </w:r>
    </w:p>
    <w:p>
      <w:pPr>
        <w:pStyle w:val="BodyText"/>
      </w:pPr>
      <w:r>
        <w:t xml:space="preserve">Блоки цитирования создаются с помощью символа &gt;:</w:t>
      </w:r>
    </w:p>
    <w:p>
      <w:pPr>
        <w:pStyle w:val="BlockText"/>
      </w:pPr>
      <w:r>
        <w:t xml:space="preserve">The pain of studying is only temporary. But the pain of not knowing - ignorance - is forever.</w:t>
      </w:r>
    </w:p>
    <w:p>
      <w:pPr>
        <w:pStyle w:val="FirstParagraph"/>
      </w:pPr>
      <w:r>
        <w:t xml:space="preserve">Упорядоченный список можно отформатировать с помощью соответствующих цифр (номер пункта.пробел Название пункта Enter):</w:t>
      </w:r>
    </w:p>
    <w:p>
      <w:pPr>
        <w:numPr>
          <w:ilvl w:val="0"/>
          <w:numId w:val="1002"/>
        </w:numPr>
        <w:pStyle w:val="Compact"/>
      </w:pPr>
      <w:r>
        <w:t xml:space="preserve">Success doesn’t come to you, you go for it;</w:t>
      </w:r>
    </w:p>
    <w:p>
      <w:pPr>
        <w:numPr>
          <w:ilvl w:val="0"/>
          <w:numId w:val="1002"/>
        </w:numPr>
        <w:pStyle w:val="Compact"/>
      </w:pPr>
      <w:r>
        <w:t xml:space="preserve">When you think it’s too late, the truth is, it’s still early;</w:t>
      </w:r>
    </w:p>
    <w:p>
      <w:pPr>
        <w:numPr>
          <w:ilvl w:val="0"/>
          <w:numId w:val="1002"/>
        </w:numPr>
        <w:pStyle w:val="Compact"/>
      </w:pPr>
      <w:r>
        <w:t xml:space="preserve">If you don’t walk today, you’ll have to run tomorrow.</w:t>
      </w:r>
    </w:p>
    <w:p>
      <w:pPr>
        <w:pStyle w:val="FirstParagraph"/>
      </w:pPr>
      <w:r>
        <w:t xml:space="preserve">Неупорядоченный (маркированный) список можно отформатировать с помощью звездочек или тире:</w:t>
      </w:r>
    </w:p>
    <w:p>
      <w:pPr>
        <w:pStyle w:val="BodyText"/>
      </w:pPr>
      <w:r>
        <w:t xml:space="preserve"># Advantages of using Markdown when compiling reports to the laboratory works:</w:t>
      </w:r>
      <w:r>
        <w:t xml:space="preserve"> </w:t>
      </w:r>
      <w:r>
        <w:t xml:space="preserve">* Quickness;</w:t>
      </w:r>
      <w:r>
        <w:t xml:space="preserve"> </w:t>
      </w:r>
      <w:r>
        <w:t xml:space="preserve">* Cosiness;</w:t>
      </w:r>
      <w:r>
        <w:t xml:space="preserve"> </w:t>
      </w:r>
      <w:r>
        <w:t xml:space="preserve">* Developing creative and analytical thinking.</w:t>
      </w:r>
    </w:p>
    <w:p>
      <w:pPr>
        <w:pStyle w:val="BodyText"/>
      </w:pPr>
      <w:r>
        <w:t xml:space="preserve">Синтаксис Markdown для встроенной ссылки состоит из части [link text] - оформляется в квадратных скобках, представляющей текст гиперссылки, и части (file-name.md) - оформляется в круглых скобках – URL-адреса или имени файла, на который дается ссылка:</w:t>
      </w:r>
      <w:r>
        <w:t xml:space="preserve"> </w:t>
      </w:r>
      <w:hyperlink r:id="rId22">
        <w:r>
          <w:rPr>
            <w:rStyle w:val="Hyperlink"/>
          </w:rPr>
          <w:t xml:space="preserve">система контроля версий Git</w:t>
        </w:r>
      </w:hyperlink>
    </w:p>
    <w:p>
      <w:pPr>
        <w:pStyle w:val="BodyText"/>
      </w:pP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 Общий формат огражденных блоков кода - его выделение ’’’ с двух сторон:</w:t>
      </w:r>
    </w:p>
    <w:p>
      <w:pPr>
        <w:pStyle w:val="SourceCode"/>
      </w:pPr>
      <w:r>
        <w:rPr>
          <w:rStyle w:val="VerbatimChar"/>
        </w:rPr>
        <w:t xml:space="preserve">your code goes in here</w:t>
      </w:r>
    </w:p>
    <w:bookmarkEnd w:id="23"/>
    <w:bookmarkStart w:id="11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необходимо перейти в терминал и установить texlive, pandoc и pandoc-crossref. (рис. 1, 2, 3, 4, 5, 6, 7, 8, 9, 10)</w:t>
      </w:r>
    </w:p>
    <w:p>
      <w:pPr>
        <w:pStyle w:val="CaptionedFigure"/>
      </w:pPr>
      <w:bookmarkStart w:id="27" w:name="fig:fig1"/>
      <w:r>
        <w:drawing>
          <wp:inline>
            <wp:extent cx="5334000" cy="3643938"/>
            <wp:effectExtent b="0" l="0" r="0" t="0"/>
            <wp:docPr descr="Рис. 1: Установка Texlive" title="" id="25" name="Picture"/>
            <a:graphic>
              <a:graphicData uri="http://schemas.openxmlformats.org/drawingml/2006/picture">
                <pic:pic>
                  <pic:nvPicPr>
                    <pic:cNvPr descr="image/fig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3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Установка Texlive</w:t>
      </w:r>
    </w:p>
    <w:p>
      <w:pPr>
        <w:pStyle w:val="CaptionedFigure"/>
      </w:pPr>
      <w:bookmarkStart w:id="31" w:name="fig:fig2"/>
      <w:r>
        <w:drawing>
          <wp:inline>
            <wp:extent cx="5334000" cy="3643938"/>
            <wp:effectExtent b="0" l="0" r="0" t="0"/>
            <wp:docPr descr="Рис. 2: Распаковка архива" title="" id="29" name="Picture"/>
            <a:graphic>
              <a:graphicData uri="http://schemas.openxmlformats.org/drawingml/2006/picture">
                <pic:pic>
                  <pic:nvPicPr>
                    <pic:cNvPr descr="image/fig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3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Распаковка архива</w:t>
      </w:r>
    </w:p>
    <w:p>
      <w:pPr>
        <w:pStyle w:val="CaptionedFigure"/>
      </w:pPr>
      <w:bookmarkStart w:id="35" w:name="fig:fig3"/>
      <w:r>
        <w:drawing>
          <wp:inline>
            <wp:extent cx="5334000" cy="3643938"/>
            <wp:effectExtent b="0" l="0" r="0" t="0"/>
            <wp:docPr descr="Рис. 3: Окно установки TexLive" title="" id="33" name="Picture"/>
            <a:graphic>
              <a:graphicData uri="http://schemas.openxmlformats.org/drawingml/2006/picture">
                <pic:pic>
                  <pic:nvPicPr>
                    <pic:cNvPr descr="image/fig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3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Окно установки TexLive</w:t>
      </w:r>
    </w:p>
    <w:p>
      <w:pPr>
        <w:pStyle w:val="CaptionedFigure"/>
      </w:pPr>
      <w:bookmarkStart w:id="39" w:name="fig:fig4"/>
      <w:r>
        <w:drawing>
          <wp:inline>
            <wp:extent cx="5334000" cy="1423466"/>
            <wp:effectExtent b="0" l="0" r="0" t="0"/>
            <wp:docPr descr="Рис. 4: Установка pandoc" title="" id="37" name="Picture"/>
            <a:graphic>
              <a:graphicData uri="http://schemas.openxmlformats.org/drawingml/2006/picture">
                <pic:pic>
                  <pic:nvPicPr>
                    <pic:cNvPr descr="image/fig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3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Установка pandoc</w:t>
      </w:r>
    </w:p>
    <w:p>
      <w:pPr>
        <w:pStyle w:val="CaptionedFigure"/>
      </w:pPr>
      <w:bookmarkStart w:id="43" w:name="fig:fig5"/>
      <w:r>
        <w:drawing>
          <wp:inline>
            <wp:extent cx="5334000" cy="943207"/>
            <wp:effectExtent b="0" l="0" r="0" t="0"/>
            <wp:docPr descr="Рис. 5: Окно установки pandoc" title="" id="41" name="Picture"/>
            <a:graphic>
              <a:graphicData uri="http://schemas.openxmlformats.org/drawingml/2006/picture">
                <pic:pic>
                  <pic:nvPicPr>
                    <pic:cNvPr descr="image/fig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3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Окно установки pandoc</w:t>
      </w:r>
    </w:p>
    <w:p>
      <w:pPr>
        <w:pStyle w:val="CaptionedFigure"/>
      </w:pPr>
      <w:bookmarkStart w:id="47" w:name="fig:fig6"/>
      <w:r>
        <w:drawing>
          <wp:inline>
            <wp:extent cx="5334000" cy="1288914"/>
            <wp:effectExtent b="0" l="0" r="0" t="0"/>
            <wp:docPr descr="Рис. 6: Установка pandoc-crossref" title="" id="45" name="Picture"/>
            <a:graphic>
              <a:graphicData uri="http://schemas.openxmlformats.org/drawingml/2006/picture">
                <pic:pic>
                  <pic:nvPicPr>
                    <pic:cNvPr descr="image/fig6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8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Установка pandoc-crossref</w:t>
      </w:r>
    </w:p>
    <w:p>
      <w:pPr>
        <w:pStyle w:val="CaptionedFigure"/>
      </w:pPr>
      <w:bookmarkStart w:id="51" w:name="fig:fig7"/>
      <w:r>
        <w:drawing>
          <wp:inline>
            <wp:extent cx="5334000" cy="1204190"/>
            <wp:effectExtent b="0" l="0" r="0" t="0"/>
            <wp:docPr descr="Рис. 7: Окно установки pandoc-crossref" title="" id="49" name="Picture"/>
            <a:graphic>
              <a:graphicData uri="http://schemas.openxmlformats.org/drawingml/2006/picture">
                <pic:pic>
                  <pic:nvPicPr>
                    <pic:cNvPr descr="image/fig7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Окно установки pandoc-crossref</w:t>
      </w:r>
    </w:p>
    <w:p>
      <w:pPr>
        <w:pStyle w:val="CaptionedFigure"/>
      </w:pPr>
      <w:bookmarkStart w:id="55" w:name="fig:fig8"/>
      <w:r>
        <w:drawing>
          <wp:inline>
            <wp:extent cx="5334000" cy="549563"/>
            <wp:effectExtent b="0" l="0" r="0" t="0"/>
            <wp:docPr descr="Рис. 8: Распаковка архивов" title="" id="53" name="Picture"/>
            <a:graphic>
              <a:graphicData uri="http://schemas.openxmlformats.org/drawingml/2006/picture">
                <pic:pic>
                  <pic:nvPicPr>
                    <pic:cNvPr descr="image/fig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Распаковка архивов</w:t>
      </w:r>
    </w:p>
    <w:p>
      <w:pPr>
        <w:pStyle w:val="CaptionedFigure"/>
      </w:pPr>
      <w:bookmarkStart w:id="59" w:name="fig:fig9"/>
      <w:r>
        <w:drawing>
          <wp:inline>
            <wp:extent cx="5334000" cy="751609"/>
            <wp:effectExtent b="0" l="0" r="0" t="0"/>
            <wp:docPr descr="Рис. 9: Копирование файлов" title="" id="57" name="Picture"/>
            <a:graphic>
              <a:graphicData uri="http://schemas.openxmlformats.org/drawingml/2006/picture">
                <pic:pic>
                  <pic:nvPicPr>
                    <pic:cNvPr descr="image/fig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Копирование файлов</w:t>
      </w:r>
    </w:p>
    <w:p>
      <w:pPr>
        <w:pStyle w:val="CaptionedFigure"/>
      </w:pPr>
      <w:bookmarkStart w:id="63" w:name="fig:fig10"/>
      <w:r>
        <w:drawing>
          <wp:inline>
            <wp:extent cx="5334000" cy="460663"/>
            <wp:effectExtent b="0" l="0" r="0" t="0"/>
            <wp:docPr descr="Рис. 10: Проверка корректности выполненных действий" title="" id="61" name="Picture"/>
            <a:graphic>
              <a:graphicData uri="http://schemas.openxmlformats.org/drawingml/2006/picture">
                <pic:pic>
                  <pic:nvPicPr>
                    <pic:cNvPr descr="image/fig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Проверка корректности выполненных действий</w:t>
      </w:r>
    </w:p>
    <w:p>
      <w:pPr>
        <w:pStyle w:val="BodyText"/>
      </w:pPr>
      <w:r>
        <w:t xml:space="preserve">Скачиваем изменения из удалённого репозитория с помощью команды git pull. (рис. 11, 12)</w:t>
      </w:r>
    </w:p>
    <w:p>
      <w:pPr>
        <w:pStyle w:val="CaptionedFigure"/>
      </w:pPr>
      <w:bookmarkStart w:id="67" w:name="fig:fig11"/>
      <w:r>
        <w:drawing>
          <wp:inline>
            <wp:extent cx="5334000" cy="431838"/>
            <wp:effectExtent b="0" l="0" r="0" t="0"/>
            <wp:docPr descr="Рис. 11: Переход в каталог предмета" title="" id="65" name="Picture"/>
            <a:graphic>
              <a:graphicData uri="http://schemas.openxmlformats.org/drawingml/2006/picture">
                <pic:pic>
                  <pic:nvPicPr>
                    <pic:cNvPr descr="image/fig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Переход в каталог предмета</w:t>
      </w:r>
    </w:p>
    <w:p>
      <w:pPr>
        <w:pStyle w:val="CaptionedFigure"/>
      </w:pPr>
      <w:bookmarkStart w:id="71" w:name="fig:fig12"/>
      <w:r>
        <w:drawing>
          <wp:inline>
            <wp:extent cx="5334000" cy="463826"/>
            <wp:effectExtent b="0" l="0" r="0" t="0"/>
            <wp:docPr descr="Рис. 12: Скачивание изменений из удалённого репозитория" title="" id="69" name="Picture"/>
            <a:graphic>
              <a:graphicData uri="http://schemas.openxmlformats.org/drawingml/2006/picture">
                <pic:pic>
                  <pic:nvPicPr>
                    <pic:cNvPr descr="image/fig12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Скачивание изменений из удалённого репозитория</w:t>
      </w:r>
    </w:p>
    <w:p>
      <w:pPr>
        <w:pStyle w:val="BodyText"/>
      </w:pPr>
      <w:r>
        <w:t xml:space="preserve">Переходим в подкаталог labs/lab04/report и компилируем шаблоны отчётов в форматы .docx и .pdf (рис. 13). Затем проверяем корректность выполненных действий (рис. 14), удаляем скомпилированные файлы и вновь проверяем корректность выполненных действий. (рис. 15)</w:t>
      </w:r>
    </w:p>
    <w:p>
      <w:pPr>
        <w:pStyle w:val="CaptionedFigure"/>
      </w:pPr>
      <w:bookmarkStart w:id="75" w:name="fig:fig13"/>
      <w:r>
        <w:drawing>
          <wp:inline>
            <wp:extent cx="5334000" cy="1063601"/>
            <wp:effectExtent b="0" l="0" r="0" t="0"/>
            <wp:docPr descr="Рис. 13: Переход в подкаталог отчёта по лабораторной работе, компиляция шаблона в двух форматах" title="" id="73" name="Picture"/>
            <a:graphic>
              <a:graphicData uri="http://schemas.openxmlformats.org/drawingml/2006/picture">
                <pic:pic>
                  <pic:nvPicPr>
                    <pic:cNvPr descr="image/fig13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3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Переход в подкаталог отчёта по лабораторной работе, компиляция шаблона в двух форматах</w:t>
      </w:r>
    </w:p>
    <w:p>
      <w:pPr>
        <w:pStyle w:val="CaptionedFigure"/>
      </w:pPr>
      <w:bookmarkStart w:id="79" w:name="fig:fig14"/>
      <w:r>
        <w:drawing>
          <wp:inline>
            <wp:extent cx="5334000" cy="455829"/>
            <wp:effectExtent b="0" l="0" r="0" t="0"/>
            <wp:docPr descr="Рис. 14: Проверка корректности выполненных действий" title="" id="77" name="Picture"/>
            <a:graphic>
              <a:graphicData uri="http://schemas.openxmlformats.org/drawingml/2006/picture">
                <pic:pic>
                  <pic:nvPicPr>
                    <pic:cNvPr descr="image/fig14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Проверка корректности выполненных действий</w:t>
      </w:r>
    </w:p>
    <w:p>
      <w:pPr>
        <w:pStyle w:val="CaptionedFigure"/>
      </w:pPr>
      <w:bookmarkStart w:id="83" w:name="fig:fig15"/>
      <w:r>
        <w:drawing>
          <wp:inline>
            <wp:extent cx="5334000" cy="455829"/>
            <wp:effectExtent b="0" l="0" r="0" t="0"/>
            <wp:docPr descr="Рис. 15: Удаление скомпилированных файлов, проверка корректности выполненных действий" title="" id="81" name="Picture"/>
            <a:graphic>
              <a:graphicData uri="http://schemas.openxmlformats.org/drawingml/2006/picture">
                <pic:pic>
                  <pic:nvPicPr>
                    <pic:cNvPr descr="image/fig15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Удаление скомпилированных файлов, проверка корректности выполненных действий</w:t>
      </w:r>
    </w:p>
    <w:p>
      <w:pPr>
        <w:pStyle w:val="BodyText"/>
      </w:pPr>
      <w:r>
        <w:t xml:space="preserve">Начинаем редактирование отчёта по лабораторной работе №3, перейдя в соответствующий подкаталог labs/lab03/report. С помощью текстового процессора gedit редактируем отчёт. (рис. 16)</w:t>
      </w:r>
    </w:p>
    <w:p>
      <w:pPr>
        <w:pStyle w:val="CaptionedFigure"/>
      </w:pPr>
      <w:bookmarkStart w:id="87" w:name="fig:fig16"/>
      <w:r>
        <w:drawing>
          <wp:inline>
            <wp:extent cx="5334000" cy="3180825"/>
            <wp:effectExtent b="0" l="0" r="0" t="0"/>
            <wp:docPr descr="Рис. 16: Установка gedit" title="" id="85" name="Picture"/>
            <a:graphic>
              <a:graphicData uri="http://schemas.openxmlformats.org/drawingml/2006/picture">
                <pic:pic>
                  <pic:nvPicPr>
                    <pic:cNvPr descr="image/fig16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Установка gedit</w:t>
      </w:r>
    </w:p>
    <w:p>
      <w:pPr>
        <w:pStyle w:val="BodyText"/>
      </w:pPr>
      <w:r>
        <w:t xml:space="preserve">После установки открывается окно с шаблоном. Начинаем изменять его, вводя свои данные. (рис. 17, 18, 19, 20, 21)</w:t>
      </w:r>
    </w:p>
    <w:p>
      <w:pPr>
        <w:pStyle w:val="CaptionedFigure"/>
      </w:pPr>
      <w:bookmarkStart w:id="91" w:name="fig:fig17"/>
      <w:r>
        <w:drawing>
          <wp:inline>
            <wp:extent cx="5334000" cy="3556000"/>
            <wp:effectExtent b="0" l="0" r="0" t="0"/>
            <wp:docPr descr="Рис. 17: Титульный лист отчёта" title="" id="89" name="Picture"/>
            <a:graphic>
              <a:graphicData uri="http://schemas.openxmlformats.org/drawingml/2006/picture">
                <pic:pic>
                  <pic:nvPicPr>
                    <pic:cNvPr descr="image/fig17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Титульный лист отчёта</w:t>
      </w:r>
    </w:p>
    <w:p>
      <w:pPr>
        <w:pStyle w:val="CaptionedFigure"/>
      </w:pPr>
      <w:bookmarkStart w:id="95" w:name="fig:fig18"/>
      <w:r>
        <w:drawing>
          <wp:inline>
            <wp:extent cx="5334000" cy="1490297"/>
            <wp:effectExtent b="0" l="0" r="0" t="0"/>
            <wp:docPr descr="Рис. 18: Оформление задания маркированным списком" title="" id="93" name="Picture"/>
            <a:graphic>
              <a:graphicData uri="http://schemas.openxmlformats.org/drawingml/2006/picture">
                <pic:pic>
                  <pic:nvPicPr>
                    <pic:cNvPr descr="image/fig18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0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Оформление задания маркированным списком</w:t>
      </w:r>
    </w:p>
    <w:p>
      <w:pPr>
        <w:pStyle w:val="CaptionedFigure"/>
      </w:pPr>
      <w:bookmarkStart w:id="99" w:name="fig:fig19"/>
      <w:r>
        <w:drawing>
          <wp:inline>
            <wp:extent cx="5334000" cy="2242898"/>
            <wp:effectExtent b="0" l="0" r="0" t="0"/>
            <wp:docPr descr="Рис. 19: Создание таблицы" title="" id="97" name="Picture"/>
            <a:graphic>
              <a:graphicData uri="http://schemas.openxmlformats.org/drawingml/2006/picture">
                <pic:pic>
                  <pic:nvPicPr>
                    <pic:cNvPr descr="image/fig19.jp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2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Создание таблицы</w:t>
      </w:r>
    </w:p>
    <w:p>
      <w:pPr>
        <w:pStyle w:val="CaptionedFigure"/>
      </w:pPr>
      <w:bookmarkStart w:id="103" w:name="fig:fig20"/>
      <w:r>
        <w:drawing>
          <wp:inline>
            <wp:extent cx="5334000" cy="1054058"/>
            <wp:effectExtent b="0" l="0" r="0" t="0"/>
            <wp:docPr descr="Рис. 20: Прикрепление изображений и ссылок на них" title="" id="101" name="Picture"/>
            <a:graphic>
              <a:graphicData uri="http://schemas.openxmlformats.org/drawingml/2006/picture">
                <pic:pic>
                  <pic:nvPicPr>
                    <pic:cNvPr descr="image/fig20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4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Рис. 20: Прикрепление изображений и ссылок на них</w:t>
      </w:r>
    </w:p>
    <w:p>
      <w:pPr>
        <w:pStyle w:val="CaptionedFigure"/>
      </w:pPr>
      <w:bookmarkStart w:id="107" w:name="fig:fig21"/>
      <w:r>
        <w:drawing>
          <wp:inline>
            <wp:extent cx="5334000" cy="222725"/>
            <wp:effectExtent b="0" l="0" r="0" t="0"/>
            <wp:docPr descr="Рис. 21: Оформление ссылки на веб-сайт" title="" id="105" name="Picture"/>
            <a:graphic>
              <a:graphicData uri="http://schemas.openxmlformats.org/drawingml/2006/picture">
                <pic:pic>
                  <pic:nvPicPr>
                    <pic:cNvPr descr="image/fig21.jp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21: Оформление ссылки на веб-сайт</w:t>
      </w:r>
    </w:p>
    <w:p>
      <w:pPr>
        <w:pStyle w:val="BodyText"/>
      </w:pPr>
      <w:r>
        <w:t xml:space="preserve">Компилируем отчёт в двух форматах: .docx и .pdf. (рис. 22)</w:t>
      </w:r>
    </w:p>
    <w:p>
      <w:pPr>
        <w:pStyle w:val="CaptionedFigure"/>
      </w:pPr>
      <w:bookmarkStart w:id="111" w:name="fig:fig22"/>
      <w:r>
        <w:drawing>
          <wp:inline>
            <wp:extent cx="5334000" cy="833437"/>
            <wp:effectExtent b="0" l="0" r="0" t="0"/>
            <wp:docPr descr="Рис. 22: Компиляция отчёта в двух форматах: .docx и .pdf" title="" id="109" name="Picture"/>
            <a:graphic>
              <a:graphicData uri="http://schemas.openxmlformats.org/drawingml/2006/picture">
                <pic:pic>
                  <pic:nvPicPr>
                    <pic:cNvPr descr="image/fig22.jp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3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Рис. 22: Компиляция отчёта в двух форматах: .docx и .pdf</w:t>
      </w:r>
    </w:p>
    <w:bookmarkEnd w:id="112"/>
    <w:bookmarkStart w:id="11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создавать и обрабатывать отчёты с помощью языка разметки Markdown.</w:t>
      </w:r>
    </w:p>
    <w:bookmarkEnd w:id="113"/>
    <w:bookmarkStart w:id="11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Руководство по выполнению лабораторной работы №4.</w:t>
      </w:r>
    </w:p>
    <w:bookmarkStart w:id="114" w:name="refs"/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6" Target="media/rId76.jpg" /><Relationship Type="http://schemas.openxmlformats.org/officeDocument/2006/relationships/image" Id="rId80" Target="media/rId80.jpg" /><Relationship Type="http://schemas.openxmlformats.org/officeDocument/2006/relationships/image" Id="rId84" Target="media/rId84.jpg" /><Relationship Type="http://schemas.openxmlformats.org/officeDocument/2006/relationships/image" Id="rId88" Target="media/rId88.jpg" /><Relationship Type="http://schemas.openxmlformats.org/officeDocument/2006/relationships/image" Id="rId92" Target="media/rId92.jpg" /><Relationship Type="http://schemas.openxmlformats.org/officeDocument/2006/relationships/image" Id="rId96" Target="media/rId96.jpg" /><Relationship Type="http://schemas.openxmlformats.org/officeDocument/2006/relationships/image" Id="rId28" Target="media/rId28.jpg" /><Relationship Type="http://schemas.openxmlformats.org/officeDocument/2006/relationships/image" Id="rId100" Target="media/rId100.jpg" /><Relationship Type="http://schemas.openxmlformats.org/officeDocument/2006/relationships/image" Id="rId104" Target="media/rId104.jpg" /><Relationship Type="http://schemas.openxmlformats.org/officeDocument/2006/relationships/image" Id="rId108" Target="media/rId10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6" Target="media/rId56.jpg" /><Relationship Type="http://schemas.openxmlformats.org/officeDocument/2006/relationships/hyperlink" Id="rId22" Target="https://github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№4: Язык разметки Markdown</dc:title>
  <dc:creator>Ибатулина Дарья Эдуардовна</dc:creator>
  <dc:language>ru-RU</dc:language>
  <cp:keywords/>
  <dcterms:created xsi:type="dcterms:W3CDTF">2022-10-29T15:35:11Z</dcterms:created>
  <dcterms:modified xsi:type="dcterms:W3CDTF">2022-10-29T15:35:11Z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