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введением к работе;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для программ на языке ассемблера;</w:t>
      </w:r>
    </w:p>
    <w:p>
      <w:pPr>
        <w:numPr>
          <w:ilvl w:val="0"/>
          <w:numId w:val="1001"/>
        </w:numPr>
        <w:pStyle w:val="Compact"/>
      </w:pPr>
      <w:r>
        <w:t xml:space="preserve">Написать простейшую программу, выводящую на экран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!;</w:t>
      </w:r>
    </w:p>
    <w:p>
      <w:pPr>
        <w:numPr>
          <w:ilvl w:val="0"/>
          <w:numId w:val="1001"/>
        </w:numPr>
        <w:pStyle w:val="Compact"/>
      </w:pPr>
      <w:r>
        <w:t xml:space="preserve">Выполнить компоновку объектного файла, запустить исполняемый файл;</w:t>
      </w:r>
    </w:p>
    <w:p>
      <w:pPr>
        <w:numPr>
          <w:ilvl w:val="0"/>
          <w:numId w:val="1001"/>
        </w:numPr>
        <w:pStyle w:val="Compact"/>
      </w:pPr>
      <w:r>
        <w:t xml:space="preserve">Загрузить полученные файлы на Github;</w:t>
      </w:r>
    </w:p>
    <w:p>
      <w:pPr>
        <w:numPr>
          <w:ilvl w:val="0"/>
          <w:numId w:val="1001"/>
        </w:numPr>
        <w:pStyle w:val="Compact"/>
      </w:pPr>
      <w:r>
        <w:t xml:space="preserve">Сделать вывод по лабораторной работе;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в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память, процессор и периферийные устройства. Через общую шину они взаимодействуют друг с другом.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</w:p>
    <w:p>
      <w:pPr>
        <w:pStyle w:val="BodyText"/>
      </w:pPr>
      <w:r>
        <w:t xml:space="preserve">Задачи процессора - обработка информации и координация работы всех узлов компьютера. В состав центрального процессора входят:</w:t>
      </w:r>
    </w:p>
    <w:p>
      <w:pPr>
        <w:numPr>
          <w:ilvl w:val="0"/>
          <w:numId w:val="1002"/>
        </w:numPr>
        <w:pStyle w:val="Compact"/>
      </w:pPr>
      <w:r>
        <w:t xml:space="preserve">арифметико-логическое устройство (АЛУ);</w:t>
      </w:r>
    </w:p>
    <w:p>
      <w:pPr>
        <w:numPr>
          <w:ilvl w:val="0"/>
          <w:numId w:val="1002"/>
        </w:numPr>
        <w:pStyle w:val="Compact"/>
      </w:pPr>
      <w:r>
        <w:t xml:space="preserve">устройство управления (УУ);</w:t>
      </w:r>
    </w:p>
    <w:p>
      <w:pPr>
        <w:numPr>
          <w:ilvl w:val="0"/>
          <w:numId w:val="1002"/>
        </w:numPr>
        <w:pStyle w:val="Compact"/>
      </w:pPr>
      <w:r>
        <w:t xml:space="preserve">регистры.</w:t>
      </w:r>
    </w:p>
    <w:p>
      <w:pPr>
        <w:pStyle w:val="FirstParagraph"/>
      </w:pP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данных,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</w:p>
    <w:p>
      <w:pPr>
        <w:pStyle w:val="BodyText"/>
      </w:pP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К примеру, RAX - 64-битные, EAX - 32-битные.</w:t>
      </w:r>
    </w:p>
    <w:p>
      <w:pPr>
        <w:pStyle w:val="BodyText"/>
      </w:pPr>
      <w:r>
        <w:t xml:space="preserve">Таким образом можно отметить, что вы можете написать в своей программе, например, такие команды (mov – команда пересылки данных на языке ассемблера):</w:t>
      </w:r>
    </w:p>
    <w:p>
      <w:pPr>
        <w:pStyle w:val="BodyText"/>
      </w:pPr>
      <w:r>
        <w:t xml:space="preserve">mov ax, 1</w:t>
      </w:r>
      <w:r>
        <w:t xml:space="preserve"> </w:t>
      </w:r>
      <w:r>
        <w:t xml:space="preserve">mov eax, 1</w:t>
      </w:r>
    </w:p>
    <w:p>
      <w:pPr>
        <w:pStyle w:val="BodyText"/>
      </w:pPr>
      <w:r>
        <w:t xml:space="preserve">Обе команды поместят в регистр AX число 1. Разница будет заключаться только в том, что вторая команда обнулит старшие разряды регистра EAX, то есть после выполнения второй команды в регистре EAX будет число 1. 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</w:p>
    <w:p>
      <w:pPr>
        <w:pStyle w:val="BodyText"/>
      </w:pP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 ленты);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лежит</w:t>
      </w:r>
      <w:r>
        <w:t xml:space="preserve"> </w:t>
      </w:r>
      <w:r>
        <w:rPr>
          <w:bCs/>
          <w:b/>
        </w:rPr>
        <w:t xml:space="preserve">принцип программного управления</w:t>
      </w:r>
      <w:r>
        <w:t xml:space="preserve">. Это значит, что компьютер выполняет алгоритм (последовательность команд). Коды команд состоят из нулей и единиц.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</w:t>
      </w:r>
      <w:r>
        <w:t xml:space="preserve"> </w:t>
      </w:r>
      <w:r>
        <w:rPr>
          <w:bCs/>
          <w:b/>
        </w:rPr>
        <w:t xml:space="preserve">командным циклом процессора</w:t>
      </w:r>
      <w:r>
        <w:t xml:space="preserve">. В самом общем виде он заключается в следующем:</w:t>
      </w:r>
    </w:p>
    <w:p>
      <w:pPr>
        <w:numPr>
          <w:ilvl w:val="0"/>
          <w:numId w:val="1003"/>
        </w:numPr>
        <w:pStyle w:val="Compact"/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3"/>
        </w:numPr>
        <w:pStyle w:val="Compact"/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3"/>
        </w:numPr>
        <w:pStyle w:val="Compact"/>
      </w:pPr>
      <w:r>
        <w:t xml:space="preserve">выполнение команды;</w:t>
      </w:r>
    </w:p>
    <w:p>
      <w:pPr>
        <w:numPr>
          <w:ilvl w:val="0"/>
          <w:numId w:val="1003"/>
        </w:numPr>
        <w:pStyle w:val="Compact"/>
      </w:pPr>
      <w:r>
        <w:t xml:space="preserve">переход к следующей команде.</w:t>
      </w:r>
    </w:p>
    <w:p>
      <w:pPr>
        <w:pStyle w:val="FirstParagraph"/>
      </w:pPr>
      <w:r>
        <w:t xml:space="preserve">Данный алгоритм позволяет выполнить хранящуюся в ОЗУ программу.</w:t>
      </w:r>
    </w:p>
    <w:p>
      <w:pPr>
        <w:pStyle w:val="BodyText"/>
      </w:pPr>
      <w:r>
        <w:t xml:space="preserve">Язык ассемблера — это язык, с помощью которого понятным для человека образом пишутся команды для процессора. В современных компьютерах пользователь не получает прямого доступа к процессору, обращение происходит к ядру.</w:t>
      </w:r>
    </w:p>
    <w:p>
      <w:pPr>
        <w:pStyle w:val="BodyText"/>
      </w:pP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</w:t>
      </w:r>
      <w:r>
        <w:t xml:space="preserve"> </w:t>
      </w:r>
      <w:r>
        <w:t xml:space="preserve">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</w:p>
    <w:p>
      <w:pPr>
        <w:pStyle w:val="BodyText"/>
      </w:pP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BodyText"/>
      </w:pPr>
      <w:r>
        <w:t xml:space="preserve">Типичный формат записи команд NASM имеет вид:</w:t>
      </w:r>
    </w:p>
    <w:p>
      <w:pPr>
        <w:pStyle w:val="BodyText"/>
      </w:pPr>
      <w:r>
        <w:t xml:space="preserve">[метка:] мнемокод [операнд {, операнд}] [; комментарий]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iCs/>
          <w:i/>
          <w:bCs/>
          <w:b/>
        </w:rPr>
        <w:t xml:space="preserve">мнемокод</w:t>
      </w:r>
      <w:r>
        <w:t xml:space="preserve"> </w:t>
      </w:r>
      <w:r>
        <w:t xml:space="preserve">— непосредственно мнемоника инструкции процессору, которая является обязательной частью команды. Операндами могут быть числа, данные, адреса регистров или адреса оперативной памяти.</w:t>
      </w:r>
      <w:r>
        <w:t xml:space="preserve"> </w:t>
      </w:r>
      <w:r>
        <w:rPr>
          <w:iCs/>
          <w:i/>
          <w:bCs/>
          <w:b/>
        </w:rPr>
        <w:t xml:space="preserve">Метка</w:t>
      </w:r>
      <w:r>
        <w:t xml:space="preserve"> </w:t>
      </w:r>
      <w:r>
        <w:t xml:space="preserve">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</w:p>
    <w:p>
      <w:pPr>
        <w:pStyle w:val="BodyText"/>
      </w:pPr>
      <w:r>
        <w:t xml:space="preserve">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 Перед идентификаторами, которые пишутся как</w:t>
      </w:r>
      <w:r>
        <w:t xml:space="preserve"> </w:t>
      </w:r>
      <w:r>
        <w:rPr>
          <w:iCs/>
          <w:i/>
        </w:rPr>
        <w:t xml:space="preserve">зарезервированные слова</w:t>
      </w:r>
      <w:r>
        <w:t xml:space="preserve">, нужно писать $, чтобы компилятор трактовал его верно (так называемое экранирование). Максимальная длина идентификатора 4095 символов.</w:t>
      </w:r>
    </w:p>
    <w:p>
      <w:pPr>
        <w:pStyle w:val="BodyText"/>
      </w:pPr>
      <w:r>
        <w:t xml:space="preserve">Программа на языке ассемблера также может содержать</w:t>
      </w:r>
      <w:r>
        <w:t xml:space="preserve"> </w:t>
      </w:r>
      <w:r>
        <w:rPr>
          <w:iCs/>
          <w:i/>
          <w:bCs/>
          <w:b/>
        </w:rPr>
        <w:t xml:space="preserve">директивы</w:t>
      </w:r>
      <w:r>
        <w:t xml:space="preserve"> </w:t>
      </w:r>
      <w:r>
        <w:t xml:space="preserve">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p>
      <w:pPr>
        <w:pStyle w:val="BodyText"/>
      </w:pPr>
      <w:r>
        <w:t xml:space="preserve">Программа на языке Ассемблера состоит из следующих уровней:</w:t>
      </w:r>
    </w:p>
    <w:p>
      <w:pPr>
        <w:numPr>
          <w:ilvl w:val="0"/>
          <w:numId w:val="1004"/>
        </w:numPr>
        <w:pStyle w:val="Compact"/>
      </w:pPr>
      <w:r>
        <w:t xml:space="preserve">текст программы;</w:t>
      </w:r>
    </w:p>
    <w:p>
      <w:pPr>
        <w:numPr>
          <w:ilvl w:val="0"/>
          <w:numId w:val="1004"/>
        </w:numPr>
        <w:pStyle w:val="Compact"/>
      </w:pPr>
      <w:r>
        <w:t xml:space="preserve">трансляция;</w:t>
      </w:r>
    </w:p>
    <w:p>
      <w:pPr>
        <w:numPr>
          <w:ilvl w:val="0"/>
          <w:numId w:val="1004"/>
        </w:numPr>
        <w:pStyle w:val="Compact"/>
      </w:pPr>
      <w:r>
        <w:t xml:space="preserve">компоновка (линковка);</w:t>
      </w:r>
    </w:p>
    <w:p>
      <w:pPr>
        <w:numPr>
          <w:ilvl w:val="0"/>
          <w:numId w:val="1004"/>
        </w:numPr>
        <w:pStyle w:val="Compact"/>
      </w:pPr>
      <w:r>
        <w:t xml:space="preserve">запуск программы.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разработки программ на языке ассемблера Nasm и переходим в него. (рис. 1)</w:t>
      </w:r>
    </w:p>
    <w:p>
      <w:pPr>
        <w:pStyle w:val="CaptionedFigure"/>
      </w:pPr>
      <w:bookmarkStart w:id="26" w:name="fig:001"/>
      <w:r>
        <w:drawing>
          <wp:inline>
            <wp:extent cx="4940300" cy="1270000"/>
            <wp:effectExtent b="0" l="0" r="0" t="0"/>
            <wp:docPr descr="Рис. 1: Создание каталога для программ на Ассемблере" title="" id="24" name="Picture"/>
            <a:graphic>
              <a:graphicData uri="http://schemas.openxmlformats.org/drawingml/2006/picture">
                <pic:pic>
                  <pic:nvPicPr>
                    <pic:cNvPr descr="image/Снимки%20экрана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для программ на Ассемблере</w:t>
      </w:r>
    </w:p>
    <w:p>
      <w:pPr>
        <w:pStyle w:val="BodyText"/>
      </w:pPr>
      <w:r>
        <w:t xml:space="preserve">Создаём текстовый файл с помощью команды</w:t>
      </w:r>
      <w:r>
        <w:t xml:space="preserve"> </w:t>
      </w:r>
      <w:r>
        <w:rPr>
          <w:iCs/>
          <w:i/>
        </w:rPr>
        <w:t xml:space="preserve">touch</w:t>
      </w:r>
      <w:r>
        <w:t xml:space="preserve"> </w:t>
      </w:r>
      <w:r>
        <w:t xml:space="preserve">и открываем его в текстовом редакторе gedit, вносим изменения в текст программы, сохраняем (рис. 2), (рис. 3).</w:t>
      </w:r>
    </w:p>
    <w:p>
      <w:pPr>
        <w:pStyle w:val="CaptionedFigure"/>
      </w:pPr>
      <w:bookmarkStart w:id="30" w:name="fig:002"/>
      <w:r>
        <w:drawing>
          <wp:inline>
            <wp:extent cx="5334000" cy="609244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Снимки%20экрана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</w:t>
      </w:r>
    </w:p>
    <w:p>
      <w:pPr>
        <w:pStyle w:val="CaptionedFigure"/>
      </w:pPr>
      <w:bookmarkStart w:id="34" w:name="fig:003"/>
      <w:r>
        <w:drawing>
          <wp:inline>
            <wp:extent cx="5334000" cy="3103836"/>
            <wp:effectExtent b="0" l="0" r="0" t="0"/>
            <wp:docPr descr="Рис. 3: Открытие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Снимки%20экрана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Открытие в текстовом редакторе</w:t>
      </w:r>
    </w:p>
    <w:p>
      <w:pPr>
        <w:pStyle w:val="BodyText"/>
      </w:pPr>
      <w:r>
        <w:t xml:space="preserve">Компилируем данный текст программы, проверяем корректность выполненных действий (рис. 4).</w:t>
      </w:r>
    </w:p>
    <w:p>
      <w:pPr>
        <w:pStyle w:val="CaptionedFigure"/>
      </w:pPr>
      <w:bookmarkStart w:id="38" w:name="fig:004"/>
      <w:r>
        <w:drawing>
          <wp:inline>
            <wp:extent cx="5334000" cy="926196"/>
            <wp:effectExtent b="0" l="0" r="0" t="0"/>
            <wp:docPr descr="Рис. 4: Компиляция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Снимки%20экрана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текста программы</w:t>
      </w:r>
    </w:p>
    <w:p>
      <w:pPr>
        <w:pStyle w:val="BodyText"/>
      </w:pPr>
      <w:r>
        <w:t xml:space="preserve">Выполняем следующую команду (рис. 5):</w:t>
      </w:r>
    </w:p>
    <w:p>
      <w:pPr>
        <w:pStyle w:val="CaptionedFigure"/>
      </w:pPr>
      <w:bookmarkStart w:id="42" w:name="fig:005"/>
      <w:r>
        <w:drawing>
          <wp:inline>
            <wp:extent cx="5334000" cy="525318"/>
            <wp:effectExtent b="0" l="0" r="0" t="0"/>
            <wp:docPr descr="Рис. 5: Создание новых файлов" title="" id="40" name="Picture"/>
            <a:graphic>
              <a:graphicData uri="http://schemas.openxmlformats.org/drawingml/2006/picture">
                <pic:pic>
                  <pic:nvPicPr>
                    <pic:cNvPr descr="image/Снимки%20экрана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новых файлов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</w:p>
    <w:p>
      <w:pPr>
        <w:pStyle w:val="BodyText"/>
      </w:pPr>
      <w:r>
        <w:t xml:space="preserve">Проверяем корректность выполненных действий (рис. 6).</w:t>
      </w:r>
    </w:p>
    <w:p>
      <w:pPr>
        <w:pStyle w:val="CaptionedFigure"/>
      </w:pPr>
      <w:bookmarkStart w:id="46" w:name="fig:006"/>
      <w:r>
        <w:drawing>
          <wp:inline>
            <wp:extent cx="4140200" cy="685800"/>
            <wp:effectExtent b="0" l="0" r="0" t="0"/>
            <wp:docPr descr="Рис. 6: Проверка корректности выполненных действий" title="" id="44" name="Picture"/>
            <a:graphic>
              <a:graphicData uri="http://schemas.openxmlformats.org/drawingml/2006/picture">
                <pic:pic>
                  <pic:nvPicPr>
                    <pic:cNvPr descr="image/Снимки%20экрана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корректности выполненных действий</w:t>
      </w:r>
    </w:p>
    <w:p>
      <w:pPr>
        <w:pStyle w:val="BodyText"/>
      </w:pPr>
      <w:r>
        <w:t xml:space="preserve">Передаём объектный файл на обработку компоновщику, проверяем корректность выполненных действий (рис. 7).</w:t>
      </w:r>
    </w:p>
    <w:p>
      <w:pPr>
        <w:pStyle w:val="CaptionedFigure"/>
      </w:pPr>
      <w:bookmarkStart w:id="50" w:name="fig:007"/>
      <w:r>
        <w:drawing>
          <wp:inline>
            <wp:extent cx="5334000" cy="732692"/>
            <wp:effectExtent b="0" l="0" r="0" t="0"/>
            <wp:docPr descr="Рис. 7: Передача объектного файла на обработку компоновщику" title="" id="48" name="Picture"/>
            <a:graphic>
              <a:graphicData uri="http://schemas.openxmlformats.org/drawingml/2006/picture">
                <pic:pic>
                  <pic:nvPicPr>
                    <pic:cNvPr descr="image/Снимки%20экрана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p>
      <w:pPr>
        <w:pStyle w:val="BodyText"/>
      </w:pPr>
      <w:r>
        <w:t xml:space="preserve">Задаём имя исполняемого файла (рис. 8). Имя исполняемого файла - main, объектный файл, из которого он собран, имеет имя obj.o.</w:t>
      </w:r>
    </w:p>
    <w:p>
      <w:pPr>
        <w:pStyle w:val="CaptionedFigure"/>
      </w:pPr>
      <w:bookmarkStart w:id="54" w:name="fig:008"/>
      <w:r>
        <w:drawing>
          <wp:inline>
            <wp:extent cx="5334000" cy="732692"/>
            <wp:effectExtent b="0" l="0" r="0" t="0"/>
            <wp:docPr descr="Рис. 8: Задание имени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Снимки%20экрана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Задание имени исполняемого файла</w:t>
      </w:r>
    </w:p>
    <w:p>
      <w:pPr>
        <w:pStyle w:val="BodyText"/>
      </w:pPr>
      <w:r>
        <w:t xml:space="preserve">Запускаем программу (рис. 9).</w:t>
      </w:r>
    </w:p>
    <w:p>
      <w:pPr>
        <w:pStyle w:val="CaptionedFigure"/>
      </w:pPr>
      <w:bookmarkStart w:id="58" w:name="fig:009"/>
      <w:r>
        <w:drawing>
          <wp:inline>
            <wp:extent cx="4546600" cy="711200"/>
            <wp:effectExtent b="0" l="0" r="0" t="0"/>
            <wp:docPr descr="Рис. 9: Запуск программы" title="" id="56" name="Picture"/>
            <a:graphic>
              <a:graphicData uri="http://schemas.openxmlformats.org/drawingml/2006/picture">
                <pic:pic>
                  <pic:nvPicPr>
                    <pic:cNvPr descr="image/Снимки%20экрана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программы</w:t>
      </w:r>
    </w:p>
    <w:p>
      <w:pPr>
        <w:pStyle w:val="BodyText"/>
      </w:pPr>
      <w:r>
        <w:t xml:space="preserve">Переходим к выполнению заданий для самостоятельной работы. Первым делом создаём копию файла hello.asm, созданного при выполнении лабораторной работы, в папке для разработки программ (рис. 10).</w:t>
      </w:r>
    </w:p>
    <w:p>
      <w:pPr>
        <w:pStyle w:val="CaptionedFigure"/>
      </w:pPr>
      <w:bookmarkStart w:id="62" w:name="fig:010"/>
      <w:r>
        <w:drawing>
          <wp:inline>
            <wp:extent cx="5334000" cy="866493"/>
            <wp:effectExtent b="0" l="0" r="0" t="0"/>
            <wp:docPr descr="Рис. 10: Создание файла для новой программы" title="" id="60" name="Picture"/>
            <a:graphic>
              <a:graphicData uri="http://schemas.openxmlformats.org/drawingml/2006/picture">
                <pic:pic>
                  <pic:nvPicPr>
                    <pic:cNvPr descr="image/Снимки%20экрана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файла для новой программы</w:t>
      </w:r>
    </w:p>
    <w:p>
      <w:pPr>
        <w:pStyle w:val="BodyText"/>
      </w:pPr>
      <w:r>
        <w:t xml:space="preserve">Далее редактируем данный файл с помощью текстового редактора gedit (рис. 11), (рис. 12).</w:t>
      </w:r>
    </w:p>
    <w:p>
      <w:pPr>
        <w:pStyle w:val="CaptionedFigure"/>
      </w:pPr>
      <w:bookmarkStart w:id="66" w:name="fig:011"/>
      <w:r>
        <w:drawing>
          <wp:inline>
            <wp:extent cx="5334000" cy="247569"/>
            <wp:effectExtent b="0" l="0" r="0" t="0"/>
            <wp:docPr descr="Рис. 11: Редактируем в терминале" title="" id="64" name="Picture"/>
            <a:graphic>
              <a:graphicData uri="http://schemas.openxmlformats.org/drawingml/2006/picture">
                <pic:pic>
                  <pic:nvPicPr>
                    <pic:cNvPr descr="image/Снимки%20экрана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Редактируем в терминале</w:t>
      </w:r>
    </w:p>
    <w:p>
      <w:pPr>
        <w:pStyle w:val="CaptionedFigure"/>
      </w:pPr>
      <w:bookmarkStart w:id="70" w:name="fig:012"/>
      <w:r>
        <w:drawing>
          <wp:inline>
            <wp:extent cx="5334000" cy="3107634"/>
            <wp:effectExtent b="0" l="0" r="0" t="0"/>
            <wp:docPr descr="Рис. 12: Редактируем в текстовом редакторе" title="" id="68" name="Picture"/>
            <a:graphic>
              <a:graphicData uri="http://schemas.openxmlformats.org/drawingml/2006/picture">
                <pic:pic>
                  <pic:nvPicPr>
                    <pic:cNvPr descr="image/Снимки%20экрана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Редактируем в текстовом редакторе</w:t>
      </w:r>
    </w:p>
    <w:p>
      <w:pPr>
        <w:pStyle w:val="BodyText"/>
      </w:pPr>
      <w:r>
        <w:t xml:space="preserve">Компонуем и запускаем исполняемый файл (рис. 13).</w:t>
      </w:r>
    </w:p>
    <w:p>
      <w:pPr>
        <w:pStyle w:val="CaptionedFigure"/>
      </w:pPr>
      <w:bookmarkStart w:id="74" w:name="fig:013"/>
      <w:r>
        <w:drawing>
          <wp:inline>
            <wp:extent cx="5334000" cy="2631121"/>
            <wp:effectExtent b="0" l="0" r="0" t="0"/>
            <wp:docPr descr="Рис. 13: Компоновка и 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Снимки%20экрана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Компоновка и запуск исполняемого файла</w:t>
      </w:r>
    </w:p>
    <w:p>
      <w:pPr>
        <w:pStyle w:val="BodyText"/>
      </w:pPr>
      <w:r>
        <w:t xml:space="preserve">Копируем 2 файла с программами в каталог для лабораторных работ (рис. 14).</w:t>
      </w:r>
    </w:p>
    <w:p>
      <w:pPr>
        <w:pStyle w:val="CaptionedFigure"/>
      </w:pPr>
      <w:bookmarkStart w:id="78" w:name="fig:014"/>
      <w:r>
        <w:drawing>
          <wp:inline>
            <wp:extent cx="5334000" cy="525689"/>
            <wp:effectExtent b="0" l="0" r="0" t="0"/>
            <wp:docPr descr="Рис. 14: Копирование файлов с программами в каталог для лабораторных работ" title="" id="76" name="Picture"/>
            <a:graphic>
              <a:graphicData uri="http://schemas.openxmlformats.org/drawingml/2006/picture">
                <pic:pic>
                  <pic:nvPicPr>
                    <pic:cNvPr descr="image/Снимки%20экрана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Копирование файлов с программами в каталог для лабораторных работ</w:t>
      </w:r>
    </w:p>
    <w:p>
      <w:pPr>
        <w:pStyle w:val="BodyText"/>
      </w:pPr>
      <w:r>
        <w:t xml:space="preserve">Проверяем корректность выполненных действий (рис. 15).</w:t>
      </w:r>
    </w:p>
    <w:p>
      <w:pPr>
        <w:pStyle w:val="CaptionedFigure"/>
      </w:pPr>
      <w:bookmarkStart w:id="82" w:name="fig:015"/>
      <w:r>
        <w:drawing>
          <wp:inline>
            <wp:extent cx="5334000" cy="656669"/>
            <wp:effectExtent b="0" l="0" r="0" t="0"/>
            <wp:docPr descr="Рис. 15: Проверка корректности выполненных действий" title="" id="80" name="Picture"/>
            <a:graphic>
              <a:graphicData uri="http://schemas.openxmlformats.org/drawingml/2006/picture">
                <pic:pic>
                  <pic:nvPicPr>
                    <pic:cNvPr descr="image/Снимки%20экрана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Проверка корректности выполненных действий</w:t>
      </w:r>
    </w:p>
    <w:p>
      <w:pPr>
        <w:pStyle w:val="BodyText"/>
      </w:pPr>
      <w:r>
        <w:t xml:space="preserve">Отправляем файлов на GitHub посредством локального репозитория (рис. 16).</w:t>
      </w:r>
    </w:p>
    <w:p>
      <w:pPr>
        <w:pStyle w:val="CaptionedFigure"/>
      </w:pPr>
      <w:bookmarkStart w:id="86" w:name="fig:016"/>
      <w:r>
        <w:drawing>
          <wp:inline>
            <wp:extent cx="5334000" cy="3829715"/>
            <wp:effectExtent b="0" l="0" r="0" t="0"/>
            <wp:docPr descr="Рис. 16: Отправка файлов на GitHub посредством локального репозитория" title="" id="84" name="Picture"/>
            <a:graphic>
              <a:graphicData uri="http://schemas.openxmlformats.org/drawingml/2006/picture">
                <pic:pic>
                  <pic:nvPicPr>
                    <pic:cNvPr descr="image/Снимки%20экрана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Отправка файлов на GitHub посредством локального репозитория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процедуру компиляции и сборки программ, написанных на низкоуровневом языке программирования Ассемблер.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Руководство к лабораторной работе №5. Создание и процесс обработки программ на языке ассемблера NASM.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№5. Создание и процесс обработки программ на языке ассемблера NASM</dc:title>
  <dc:creator>Ибатулина Дарья Эдуардовна</dc:creator>
  <dc:language>ru-RU</dc:language>
  <cp:keywords/>
  <dcterms:created xsi:type="dcterms:W3CDTF">2022-11-07T19:20:37Z</dcterms:created>
  <dcterms:modified xsi:type="dcterms:W3CDTF">2022-11-07T19:20:37Z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