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3:</w:t>
      </w:r>
      <w:r>
        <w:t xml:space="preserve"> </w:t>
      </w: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третий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, выполнить тестовые задания к нему.</w:t>
      </w:r>
    </w:p>
    <w:bookmarkEnd w:id="20"/>
    <w:bookmarkStart w:id="89" w:name="Xae11aa5677c021e61341e8f95a15355f8bb645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3: Криптография на практике</w:t>
      </w:r>
    </w:p>
    <w:bookmarkStart w:id="41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В асимметричной криптографии (её еще называют криптографией с открытым ключом) у каждой из сторон есть пара ключей: открытый ключ и секретный ключ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58640"/>
            <wp:effectExtent b="0" l="0" r="0" t="0"/>
            <wp:docPr descr="Figure 1: Вопрос 4.1.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Вопрос 4.1.1</w:t>
      </w:r>
    </w:p>
    <w:bookmarkEnd w:id="0"/>
    <w:p>
      <w:pPr>
        <w:pStyle w:val="BodyText"/>
      </w:pPr>
      <w:r>
        <w:t xml:space="preserve">Важное свойство криптографической хэш-функций, то, что делает её криптографической – это стойкость к коллизиям. Криптографическая хэш-функция берет на вход произвольный объем данных, то есть какие-то биты и выдает на выходе фиксированную строку, например длины n. Важно, что, как правило, функция сжимает данные: она берет большой набор данных и выдаёт потом маленькое фиксированное значение. Кроме того, криптографическая хэш-функция эффективно вычисляется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79476"/>
            <wp:effectExtent b="0" l="0" r="0" t="0"/>
            <wp:docPr descr="Figure 2: Вопрос 4.1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Вопрос 4.1.2</w:t>
      </w:r>
    </w:p>
    <w:bookmarkEnd w:id="0"/>
    <w:p>
      <w:pPr>
        <w:pStyle w:val="BodyText"/>
      </w:pPr>
      <w:r>
        <w:t xml:space="preserve">Отмечены алгоритмы цифровой подписи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04479"/>
            <wp:effectExtent b="0" l="0" r="0" t="0"/>
            <wp:docPr descr="Figure 3: Вопрос 4.1.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Вопрос 4.1.3</w:t>
      </w:r>
    </w:p>
    <w:bookmarkEnd w:id="0"/>
    <w:p>
      <w:pPr>
        <w:pStyle w:val="BodyText"/>
      </w:pPr>
      <w:r>
        <w:t xml:space="preserve">К шифротексту, который мы сгенерировали с помощью ключа для какого-то сообщения, мы еще добавляем код аутентификации сообщения. Это также симметричный примитив, который берет на вход какой-то ключ (это должен быть другой ключ, не тот, с которого мы шифровали) и сообщение и выдает код аутентификации сообщения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25303"/>
            <wp:effectExtent b="0" l="0" r="0" t="0"/>
            <wp:docPr descr="Figure 4: Вопрос 4.1.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Вопрос 4.1.4</w:t>
      </w:r>
    </w:p>
    <w:bookmarkEnd w:id="0"/>
    <w:p>
      <w:pPr>
        <w:pStyle w:val="BodyText"/>
      </w:pPr>
      <w:r>
        <w:t xml:space="preserve">Использую определение обмена ключами Диффи-Хэллмана для ответа на данный вопрос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37804"/>
            <wp:effectExtent b="0" l="0" r="0" t="0"/>
            <wp:docPr descr="Figure 5: Вопрос 4.1.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Вопрос 4.1.5</w:t>
      </w:r>
    </w:p>
    <w:bookmarkEnd w:id="0"/>
    <w:bookmarkEnd w:id="41"/>
    <w:bookmarkStart w:id="6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87810"/>
            <wp:effectExtent b="0" l="0" r="0" t="0"/>
            <wp:docPr descr="Figure 6: Вопрос 4.2.1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Вопрос 4.2.1</w:t>
      </w:r>
    </w:p>
    <w:bookmarkEnd w:id="0"/>
    <w:p>
      <w:pPr>
        <w:pStyle w:val="BodyText"/>
      </w:pPr>
      <w:r>
        <w:t xml:space="preserve">Rаждая машина запускает процедуру Verify, которая берет на вход само обновление, подпись и открытый ключ разработчика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346126"/>
            <wp:effectExtent b="0" l="0" r="0" t="0"/>
            <wp:docPr descr="Figure 7: Вопрос 4.2.2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Вопрос 4.2.2</w:t>
      </w:r>
    </w:p>
    <w:bookmarkEnd w:id="0"/>
    <w:p>
      <w:pPr>
        <w:pStyle w:val="BodyText"/>
      </w:pPr>
      <w:r>
        <w:t xml:space="preserve">цифровая подпись предназначена, во-первых, для обеспечения целостности сообщения, иными словами, если сообщение в процессе передачи было изменено, то подпись этого измененного сообщения будет проверена некорректно, то есть при проверке корректности подписи мы узнаем о том, что сообщение было изменено. Во-вторых, цифровая подпись обеспечивает аутентификацию сообщения, то есть мы можем установить принадлежность подписи владельцу, иными словами, никто другой не смог бы поставить такую подпись под этим сообщением. Ну и последнее, третье – это неотказ от авторства, то есть как только подпись подписана, подписавший её человек не может отказаться от того факта, что он ее подписал. Конечно, в случае кражи секретного ключа, с помощью которого подписывается сообщение, формируется подпись, о корректной безопасности цифровой подписи никакой речи быть не может, поскольку секретный ключ украден. Поэтому, электронная подпись не обеспечивает конфиденциальности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333625"/>
            <wp:effectExtent b="0" l="0" r="0" t="0"/>
            <wp:docPr descr="Figure 8: Вопрос 4.2.3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Вопрос 4.2.3</w:t>
      </w:r>
    </w:p>
    <w:bookmarkEnd w:id="0"/>
    <w:p>
      <w:pPr>
        <w:pStyle w:val="BodyText"/>
      </w:pPr>
      <w:r>
        <w:t xml:space="preserve">Что касается усиленной квалифицированной подписи, эта подпись уже имеет юридическую силу, она, как правило, равнозначна рукописной. Для того, чтобы получить такую подпись, вам нужно пойти со своим паспортом и с другими данными в сертификационный центр, который должен быть аккредитован конкретным министерством. Такие подписи используются на Госуслугах, в государственном документообороте. Для отправки налоговой отчетности в ФНС используется усиленная квалифицированная электронная подпись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329457"/>
            <wp:effectExtent b="0" l="0" r="0" t="0"/>
            <wp:docPr descr="Figure 9: Вопрос 4.2.4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Вопрос 4.2.4</w:t>
      </w:r>
    </w:p>
    <w:bookmarkEnd w:id="0"/>
    <w:p>
      <w:pPr>
        <w:pStyle w:val="BodyText"/>
      </w:pPr>
      <w:r>
        <w:t xml:space="preserve">Сертификат подписывается с помощью электронной подписи уже доверенной стороной, удостоверяющим центром, тем центром, который имеет лицензию министерства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2425303"/>
            <wp:effectExtent b="0" l="0" r="0" t="0"/>
            <wp:docPr descr="Figure 10: Вопрос 4.2.5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Вопрос 4.2.5</w:t>
      </w:r>
    </w:p>
    <w:bookmarkEnd w:id="0"/>
    <w:bookmarkEnd w:id="62"/>
    <w:bookmarkStart w:id="75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На данный момент существуют такие платежные системы, как: Visa, MasterCard, МИР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675334"/>
            <wp:effectExtent b="0" l="0" r="0" t="0"/>
            <wp:docPr descr="Figure 11: Вопрос 4.3.1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Вопрос 4.3.1</w:t>
      </w:r>
    </w:p>
    <w:bookmarkEnd w:id="0"/>
    <w:p>
      <w:pPr>
        <w:pStyle w:val="BodyText"/>
      </w:pPr>
      <w:r>
        <w:t xml:space="preserve">Основные категории вещей, которые мы можем доказать: 1) то, что я знаю – это либо пароль, либо PIN-код, либо в случае онлайн-платежей это секретный код, 2) конкретно в онлайн-платежах мы еще используем второй фактор – это то, чем я владею, например, телефон, именно поэтому нам часто приходит код, который вы должны подтвердить или вбить в ваш браузер, 3) другой фактор аутентификации – это свойства, например, биометрия, опечаток пальца, сетчатки глаза, 4) четвертый фактор аутентификации – локация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441971"/>
            <wp:effectExtent b="0" l="0" r="0" t="0"/>
            <wp:docPr descr="Figure 12: Вопрос 4.3.2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Вопрос 4.3.2</w:t>
      </w:r>
    </w:p>
    <w:bookmarkEnd w:id="0"/>
    <w:p>
      <w:pPr>
        <w:pStyle w:val="BodyText"/>
      </w:pPr>
      <w:r>
        <w:t xml:space="preserve">При онлайн платежах используется многофакторная аутентификация банком-эмитентом (выпустившим карту), чтобы удостовериться, что транзакцию совершает именно владелец карты или счета, а не злоумышленник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425303"/>
            <wp:effectExtent b="0" l="0" r="0" t="0"/>
            <wp:docPr descr="Figure 13: Вопрос 4.3.3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Вопрос 4.3.3</w:t>
      </w:r>
    </w:p>
    <w:bookmarkEnd w:id="0"/>
    <w:bookmarkEnd w:id="75"/>
    <w:bookmarkStart w:id="88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блокчейн. Следовательно, в доказательстве работы криптографической хэш-функции используется такое ее свойство, как сложность нахождения прообраза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671167"/>
            <wp:effectExtent b="0" l="0" r="0" t="0"/>
            <wp:docPr descr="Figure 14: Вопрос 4.4.1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Вопрос 4.4.1</w:t>
      </w:r>
    </w:p>
    <w:bookmarkEnd w:id="0"/>
    <w:p>
      <w:pPr>
        <w:pStyle w:val="BodyText"/>
      </w:pPr>
      <w:r>
        <w:t xml:space="preserve">В основе любого блокчейна, в частности биткоина, лежит консенсус – соглашение, в терминах криптовалют консенсус - это некая публичная структура данных или ledger (переводится с английского как «бухгалтерская книга»), где просто содержится история всех переводов, хранится список того, кто что кому заплатил, в какое время. Почему консенсус? Потому что эта публичная структура, и бухгалтерский учет должен обеспечивать четыре основных свойства. Первое - это постоянство, то есть когда-либо добавленНые данные не должны быть удалены из этой структуры. Второе - это сам консенсус, то есть все участники видят одни и те же данные и соглашаются с одним и теми же данными, исключением могут быть последние пары блоков, то есть последние изменения в этом блокчейне, в этой публичной структуре данных. Третье - это живучесть, это означает, что мы можем добавлять новые транзакции, когда хотим, мы можем осуществлять платежи, когда хотим. И последнее четвертое свойство - это открытость, то есть любой человек может быть участником блокчейна. Это справедливо не для всех блокчейнов, для биткоина это справедливо. Значит, выбираем все 4 свойства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2587823"/>
            <wp:effectExtent b="0" l="0" r="0" t="0"/>
            <wp:docPr descr="Figure 15: Вопрос 4.4.2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Вопрос 4.4.2</w:t>
      </w:r>
    </w:p>
    <w:bookmarkEnd w:id="0"/>
    <w:p>
      <w:pPr>
        <w:pStyle w:val="BodyText"/>
      </w:pPr>
      <w:r>
        <w:t xml:space="preserve">Допустим, у нас вами есть в блокчейне 3 участника, которые обмениваются друг с другом транзакциями. Важно то, что у каждого участника есть свой секретный ключ, и своим секретным ключом мы всегда будем подтверждать какую-то транзакцию. Важно то, что этот ключ у нас секретный, мы его используем для подписи. Подпись – это и есть подтверждение моей транзакции. Мы с вами разбирали в одной из лекций, как работает электронная цифровая подпись, у этого примитива есть секретный и открытый ключи, и наш секретный ключ - это то, что позволяет нам совершать транзакции от нашего лица. Тогда ответ - цифровая подпись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83631"/>
            <wp:effectExtent b="0" l="0" r="0" t="0"/>
            <wp:docPr descr="Figure 16: Вопрос 4.4.3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Вопрос 4.4.3</w:t>
      </w:r>
    </w:p>
    <w:bookmarkEnd w:id="0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прошла третий блок курса, узнала много нового о криптографии, цифровых подписях и технологии блокчейн, а также освежила в памяти знания о том, как работают переводы криптовалюты с точки зрения безопасности транзакций.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3: Криптография на практике</dc:title>
  <dc:creator>Ибатулина Дарья Эдуардовна, НКАбд-01-22</dc:creator>
  <dc:language>ru-RU</dc:language>
  <cp:keywords/>
  <dcterms:created xsi:type="dcterms:W3CDTF">2024-05-17T22:40:53Z</dcterms:created>
  <dcterms:modified xsi:type="dcterms:W3CDTF">2024-05-17T22:40:53Z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