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Смоделировать несколько сетей передачи данных различной сложности с помощью средства имитационного моделирования NS-2.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 процессов в компьютерных сетях. NS-2 позволяет описать топологию сети, конфигурацию источников и приёмников трафика, параметры соединений (полосу пропускания, задержку, вероятность потерь пакетов и т.д.) и множество других параметров моделируемой системы. Данные о динамике трафика, состоянии соединений и объектов сети, а также информация о работе протоколов фиксируются в генерируемом trace-файле.</w:t>
      </w:r>
    </w:p>
    <w:p>
      <w:pPr>
        <w:pStyle w:val="BodyText"/>
      </w:pPr>
      <w:r>
        <w:t xml:space="preserve">NS-2 является объектно-ориентированным программным обеспечением. Его ядро реализовано на языке С++. В качестве интерпретатора используется язык скриптов (сценариев) OTcl (Object oriented Tool Command Language). NS-2 полностью поддерживает иерархию классов С++ и подобную иерархию классов интерпретатора OTcl.</w:t>
      </w:r>
    </w:p>
    <w:p>
      <w:pPr>
        <w:pStyle w:val="BodyText"/>
      </w:pPr>
      <w:r>
        <w:t xml:space="preserve">Обе иерархии обладают идентичной структурой, т.е. существует однозначное соответствие между классом одной иерархии и таким же классом другой. Объединение для совместного функционирования С++ и OTcl производится при помощи TclCl (Classes Tcl). В случае, если необходимо реализовать какую-либо специфическую функцию, не реализованную в NS-2 на уровне ядра, для этого используется код на С++.</w:t>
      </w:r>
    </w:p>
    <w:p>
      <w:pPr>
        <w:pStyle w:val="BodyText"/>
      </w:pPr>
      <w:r>
        <w:t xml:space="preserve">Процесс создания модели сети для NS-2 состоит из нескольких этапов:</w:t>
      </w:r>
      <w:r>
        <w:t xml:space="preserve"> </w:t>
      </w:r>
      <w:r>
        <w:t xml:space="preserve">1. Создание нового объекта класса Simulator, в котором содержатся методы, необ</w:t>
      </w:r>
      <w:r>
        <w:t xml:space="preserve"> </w:t>
      </w:r>
      <w:r>
        <w:t xml:space="preserve">ходимые для дальнейшего описания модели (например, методы new и delete</w:t>
      </w:r>
      <w:r>
        <w:t xml:space="preserve"> </w:t>
      </w:r>
      <w:r>
        <w:t xml:space="preserve">используются для создания и уничтожения объектов соответственно);</w:t>
      </w:r>
      <w:r>
        <w:t xml:space="preserve"> </w:t>
      </w:r>
      <w:r>
        <w:t xml:space="preserve">2. Описание топологии моделируемой сети с помощью трёх основных функциональ</w:t>
      </w:r>
      <w:r>
        <w:t xml:space="preserve"> </w:t>
      </w:r>
      <w:r>
        <w:t xml:space="preserve">ных блоков: узлов (nodes), соединений (links) и агентов (agents);</w:t>
      </w:r>
      <w:r>
        <w:t xml:space="preserve"> </w:t>
      </w:r>
      <w:r>
        <w:t xml:space="preserve">3. Задание различных действий, характеризующих работу сети.</w:t>
      </w:r>
    </w:p>
    <w:p>
      <w:pPr>
        <w:pStyle w:val="BodyText"/>
      </w:pPr>
      <w:r>
        <w:t xml:space="preserve">Для создания узла используется метод node. При этом каждому узлу автоматически присваивается уникальный адрес. Для построения однонаправленных и двунаправленных линий соединения узлов используют методы simplex-link и duplex-link соответственно.</w:t>
      </w:r>
    </w:p>
    <w:p>
      <w:pPr>
        <w:pStyle w:val="BodyText"/>
      </w:pPr>
      <w:r>
        <w:t xml:space="preserve">Важным объектом NS-2являются агенты,которые могут рассматриваться как процессы и/или как транспортные единицы, работающие на узлах моделируемой сети.</w:t>
      </w:r>
    </w:p>
    <w:p>
      <w:pPr>
        <w:pStyle w:val="BodyText"/>
      </w:pPr>
      <w:r>
        <w:t xml:space="preserve">Агенты могут выступать в качестве источников трафика или приёмников, а также как динамические маршрутизирующие и протокольные модули. Агенты создаются с помощью методов общего класса Agent и являются объектами его подкласса, т.е. Agent/type, где type определяет тип конкретного объекта. Например, TCP-агент может быть создан с помощью команды:</w:t>
      </w:r>
      <w:r>
        <w:t xml:space="preserve"> </w:t>
      </w:r>
      <w:r>
        <w:rPr>
          <w:rStyle w:val="VerbatimChar"/>
        </w:rPr>
        <w:t xml:space="preserve">set tcp [ new Agent/TCP ]</w:t>
      </w:r>
    </w:p>
    <w:p>
      <w:pPr>
        <w:pStyle w:val="BodyText"/>
      </w:pPr>
      <w:r>
        <w:t xml:space="preserve">Для закрепления агента за конкретным узлом используется метод attach-agent.</w:t>
      </w:r>
      <w:r>
        <w:t xml:space="preserve"> </w:t>
      </w:r>
      <w:r>
        <w:t xml:space="preserve">Каждому агенту присваивается уникальный адрес порта для заданного узла (аналогично портам tcp и udp). Чтобы за конкретным агентом закрепить источник, используют методы attach-source и attach-traffic. Например, можно прикрепить ftp или telnet источники к TCP-агенту. Есть агенты, которые генерируют свои собственные данные, например, CBR-агент (Constant Bit-Rate) — источник трафика с постоянной интенсивностью.</w:t>
      </w:r>
    </w:p>
    <w:p>
      <w:pPr>
        <w:pStyle w:val="BodyText"/>
      </w:pPr>
      <w:r>
        <w:t xml:space="preserve">Действия разных агентов могут быть назначены планировщиком событий (Event Scheduler) в определённые моменты времени (также в определённые моменты времени могут бытьзадействованы или отключены те или иные источники данных, запись и т.д.). Для этого может использоваться метод at. Моделирование начинается при помощи метода run.</w:t>
      </w:r>
    </w:p>
    <w:p>
      <w:pPr>
        <w:pStyle w:val="BodyText"/>
      </w:pPr>
      <w:r>
        <w:t xml:space="preserve">В качестве дополнения к NS-2 часто используют средство визуализации nam (network animator) для графического отображения свойств моделируемой системы и проходящего через неё трафика и пакет Xgraph для графического представления результатов моделирования.</w:t>
      </w:r>
    </w:p>
    <w:p>
      <w:pPr>
        <w:pStyle w:val="BodyText"/>
      </w:pPr>
      <w:r>
        <w:t xml:space="preserve">Запуск сценария NS-2 осуществляется в командной строке с помощью команды:</w:t>
      </w:r>
      <w:r>
        <w:t xml:space="preserve"> </w:t>
      </w:r>
      <w:r>
        <w:rPr>
          <w:rStyle w:val="VerbatimChar"/>
        </w:rPr>
        <w:t xml:space="preserve">ns [tclscript]</w:t>
      </w:r>
    </w:p>
    <w:p>
      <w:pPr>
        <w:pStyle w:val="BodyText"/>
      </w:pPr>
      <w:r>
        <w:t xml:space="preserve">Здесь [tclscript] — имя файла скрипта Tcl, который определяет сценарий моделирования (т.е. топологию и различные события).</w:t>
      </w:r>
      <w:r>
        <w:t xml:space="preserve"> </w:t>
      </w:r>
      <w:r>
        <w:t xml:space="preserve">Nam можно запустить с помощью команды</w:t>
      </w:r>
      <w:r>
        <w:t xml:space="preserve"> </w:t>
      </w:r>
      <w:r>
        <w:rPr>
          <w:rStyle w:val="VerbatimChar"/>
        </w:rPr>
        <w:t xml:space="preserve">nam [nam-file]</w:t>
      </w:r>
      <w:r>
        <w:t xml:space="preserve"> </w:t>
      </w:r>
      <w:r>
        <w:t xml:space="preserve">Здесь [nam-file] — имя nam trace-файла, сгенерированного с помощью ns.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директорию для лабораторных работ по ns-2, перейдем в неё и создадим файл, в котором затем напишем код для первого задания (рис. 1).</w:t>
      </w:r>
    </w:p>
    <w:p>
      <w:pPr>
        <w:pStyle w:val="CaptionedFigure"/>
      </w:pPr>
      <w:bookmarkStart w:id="26" w:name="fig:001"/>
      <w:r>
        <w:drawing>
          <wp:inline>
            <wp:extent cx="5334000" cy="1169979"/>
            <wp:effectExtent b="0" l="0" r="0" t="0"/>
            <wp:docPr descr="Рис. 1: Создание директории и файла для задания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директории и файла для задания 1</w:t>
      </w:r>
    </w:p>
    <w:p>
      <w:pPr>
        <w:pStyle w:val="BodyText"/>
      </w:pPr>
      <w:r>
        <w:t xml:space="preserve">Напишем код, описывающий</w:t>
      </w:r>
      <w:r>
        <w:t xml:space="preserve"> </w:t>
      </w:r>
      <w:r>
        <w:t xml:space="preserve">“</w:t>
      </w:r>
      <w:r>
        <w:t xml:space="preserve">пустой</w:t>
      </w:r>
      <w:r>
        <w:t xml:space="preserve">”</w:t>
      </w:r>
      <w:r>
        <w:t xml:space="preserve"> </w:t>
      </w:r>
      <w:r>
        <w:t xml:space="preserve">процесс. Пустым я назвала его потому, что trace file - файл трассировки пустой, поскольку в процессе не задано ни объектов, ни действий. Впоследствии я буду использовать его для моделирования более сложных процессов (рис. 2).</w:t>
      </w:r>
    </w:p>
    <w:p>
      <w:pPr>
        <w:pStyle w:val="CaptionedFigure"/>
      </w:pPr>
      <w:bookmarkStart w:id="30" w:name="fig:002"/>
      <w:r>
        <w:drawing>
          <wp:inline>
            <wp:extent cx="5334000" cy="5325613"/>
            <wp:effectExtent b="0" l="0" r="0" t="0"/>
            <wp:docPr descr="Рис. 2: Код для “пустого” процесс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Код для</w:t>
      </w:r>
      <w:r>
        <w:t xml:space="preserve"> </w:t>
      </w:r>
      <w:r>
        <w:t xml:space="preserve">“</w:t>
      </w:r>
      <w:r>
        <w:t xml:space="preserve">пустого</w:t>
      </w:r>
      <w:r>
        <w:t xml:space="preserve">”</w:t>
      </w:r>
      <w:r>
        <w:t xml:space="preserve"> </w:t>
      </w:r>
      <w:r>
        <w:t xml:space="preserve">процесса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ns имя_файла</w:t>
      </w:r>
      <w:r>
        <w:t xml:space="preserve"> </w:t>
      </w:r>
      <w:r>
        <w:t xml:space="preserve">я запустила симуляцию процесса (рис. 3).</w:t>
      </w:r>
    </w:p>
    <w:p>
      <w:pPr>
        <w:pStyle w:val="CaptionedFigure"/>
      </w:pPr>
      <w:bookmarkStart w:id="34" w:name="fig:003"/>
      <w:r>
        <w:drawing>
          <wp:inline>
            <wp:extent cx="5168766" cy="144378"/>
            <wp:effectExtent b="0" l="0" r="0" t="0"/>
            <wp:docPr descr="Рис. 3: Запуск симуляции процесс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Запуск симуляции процесса</w:t>
      </w:r>
    </w:p>
    <w:p>
      <w:pPr>
        <w:pStyle w:val="BodyText"/>
      </w:pPr>
      <w:r>
        <w:t xml:space="preserve">Открылось графическое окно программы ns-2 с данным процессом. Белое окошко пустое, поскольку в процессе не заданы объекты и действия (рис. 4).</w:t>
      </w:r>
    </w:p>
    <w:p>
      <w:pPr>
        <w:pStyle w:val="CaptionedFigure"/>
      </w:pPr>
      <w:bookmarkStart w:id="38" w:name="fig:004"/>
      <w:r>
        <w:drawing>
          <wp:inline>
            <wp:extent cx="5334000" cy="4399962"/>
            <wp:effectExtent b="0" l="0" r="0" t="0"/>
            <wp:docPr descr="Рис. 4: Просмотр графического отображения пустого процесс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Просмотр графического отображения пустого процесса</w:t>
      </w:r>
    </w:p>
    <w:p>
      <w:pPr>
        <w:pStyle w:val="BodyText"/>
      </w:pPr>
      <w:r>
        <w:t xml:space="preserve">Создаем файл</w:t>
      </w:r>
      <w:r>
        <w:t xml:space="preserve"> </w:t>
      </w:r>
      <w:r>
        <w:rPr>
          <w:iCs/>
          <w:i/>
        </w:rPr>
        <w:t xml:space="preserve">example1.tcl</w:t>
      </w:r>
      <w:r>
        <w:t xml:space="preserve">, чтобы смоделировать простой процесс (рис. 5).</w:t>
      </w:r>
    </w:p>
    <w:p>
      <w:pPr>
        <w:pStyle w:val="CaptionedFigure"/>
      </w:pPr>
      <w:bookmarkStart w:id="42" w:name="fig:005"/>
      <w:r>
        <w:drawing>
          <wp:inline>
            <wp:extent cx="5334000" cy="698612"/>
            <wp:effectExtent b="0" l="0" r="0" t="0"/>
            <wp:docPr descr="Рис. 5: Создание файла для образца 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файла для образца 1</w:t>
      </w:r>
    </w:p>
    <w:p>
      <w:pPr>
        <w:pStyle w:val="BodyText"/>
      </w:pPr>
      <w:r>
        <w:t xml:space="preserve">Пишем по приведенному в лабораторной работе указанию код для симуляции сети, состоящей из двух узлов. Требование к заданию:</w:t>
      </w:r>
      <w:r>
        <w:t xml:space="preserve"> </w:t>
      </w:r>
      <w:r>
        <w:t xml:space="preserve"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 (рис. 6, 7).</w:t>
      </w:r>
    </w:p>
    <w:p>
      <w:pPr>
        <w:pStyle w:val="CaptionedFigure"/>
      </w:pPr>
      <w:bookmarkStart w:id="46" w:name="fig:006"/>
      <w:r>
        <w:drawing>
          <wp:inline>
            <wp:extent cx="5334000" cy="5659040"/>
            <wp:effectExtent b="0" l="0" r="0" t="0"/>
            <wp:docPr descr="Рис. 6: Код для симуляции сети из двух узлов (1)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Код для симуляции сети из двух узлов (1)</w:t>
      </w:r>
    </w:p>
    <w:p>
      <w:pPr>
        <w:pStyle w:val="CaptionedFigure"/>
      </w:pPr>
      <w:bookmarkStart w:id="50" w:name="fig:007"/>
      <w:r>
        <w:drawing>
          <wp:inline>
            <wp:extent cx="5334000" cy="4592240"/>
            <wp:effectExtent b="0" l="0" r="0" t="0"/>
            <wp:docPr descr="Рис. 7: Код для симуляции сети из двух узлов (2)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Код для симуляции сети из двух узлов (2)</w:t>
      </w:r>
    </w:p>
    <w:p>
      <w:pPr>
        <w:pStyle w:val="BodyText"/>
      </w:pPr>
      <w:r>
        <w:t xml:space="preserve">Запускаем процесс и, нажав кнопку</w:t>
      </w:r>
      <w:r>
        <w:t xml:space="preserve"> </w:t>
      </w:r>
      <w:r>
        <w:rPr>
          <w:iCs/>
          <w:i/>
        </w:rPr>
        <w:t xml:space="preserve">play</w:t>
      </w:r>
      <w:r>
        <w:t xml:space="preserve">, наблюдаем его симуляцию: в окне nam через 0.5 секунды из узла 0 данные начнут поступать к узлу 1 (рис. 8). Это процесс можно замедлить, выбирая шаг отображения в nam. Можно осуществлять наблюдение за отдельным пакетом, щёлкнув по нему в окне nam, а щёлкнув по соединению, можно получить о нем некоторую информацию (рис. 9).</w:t>
      </w:r>
    </w:p>
    <w:p>
      <w:pPr>
        <w:pStyle w:val="CaptionedFigure"/>
      </w:pPr>
      <w:bookmarkStart w:id="54" w:name="fig:008"/>
      <w:r>
        <w:drawing>
          <wp:inline>
            <wp:extent cx="5334000" cy="4825265"/>
            <wp:effectExtent b="0" l="0" r="0" t="0"/>
            <wp:docPr descr="Рис. 8: Просмотр процесс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Просмотр процесса</w:t>
      </w:r>
    </w:p>
    <w:p>
      <w:pPr>
        <w:pStyle w:val="CaptionedFigure"/>
      </w:pPr>
      <w:bookmarkStart w:id="58" w:name="fig:009"/>
      <w:r>
        <w:drawing>
          <wp:inline>
            <wp:extent cx="5334000" cy="2954298"/>
            <wp:effectExtent b="0" l="0" r="0" t="0"/>
            <wp:docPr descr="Рис. 9: Просмотр сведений о передаваемом пакете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Просмотр сведений о передаваемом пакете</w:t>
      </w:r>
    </w:p>
    <w:p>
      <w:pPr>
        <w:pStyle w:val="BodyText"/>
      </w:pPr>
      <w:r>
        <w:t xml:space="preserve">Создаём новый файл для симуляции более сложной топологии сети (рис. 10).</w:t>
      </w:r>
    </w:p>
    <w:p>
      <w:pPr>
        <w:pStyle w:val="CaptionedFigure"/>
      </w:pPr>
      <w:bookmarkStart w:id="62" w:name="fig:010"/>
      <w:r>
        <w:drawing>
          <wp:inline>
            <wp:extent cx="5334000" cy="250275"/>
            <wp:effectExtent b="0" l="0" r="0" t="0"/>
            <wp:docPr descr="Рис. 10: Создание файла для образца 2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Создание файла для образца 2</w:t>
      </w:r>
    </w:p>
    <w:p>
      <w:pPr>
        <w:pStyle w:val="BodyText"/>
      </w:pPr>
      <w:r>
        <w:t xml:space="preserve">Напишем код для симуляции проуесса, отвечающего требованиям:</w:t>
      </w:r>
    </w:p>
    <w:p>
      <w:pPr>
        <w:pStyle w:val="BodyText"/>
      </w:pPr>
      <w:r>
        <w:t xml:space="preserve">– сеть состоит из 4 узлов (n0, n1, n2, n3);</w:t>
      </w:r>
      <w:r>
        <w:t xml:space="preserve"> </w:t>
      </w:r>
      <w:r>
        <w:t xml:space="preserve">- между узлами n0 и n2, n1 и n2 установлено дуплексное соединение с пропускной способностью 2 Мбит/с и задержкой 10 мс;</w:t>
      </w:r>
      <w:r>
        <w:t xml:space="preserve"> </w:t>
      </w:r>
      <w:r>
        <w:t xml:space="preserve">– между узлами n2 и n3 установлено дуплексное соединение с пропускной способностью 1,7 Мбит/с и задержкой 20 мс;</w:t>
      </w:r>
      <w:r>
        <w:t xml:space="preserve"> </w:t>
      </w:r>
      <w:r>
        <w:t xml:space="preserve">– каждый узел использует очередь с дисциплиной DropTail для накопления пакетов, максимальный размер которой составляет 10;</w:t>
      </w:r>
      <w:r>
        <w:t xml:space="preserve"> </w:t>
      </w:r>
      <w:r>
        <w:t xml:space="preserve">– TCP-источник на узле n0 подключается к TCP-приёмнику на узле n3 (по-умолчанию, максимальный размер пакета, который TCP-агент может генерировать, равняется 1KByte)</w:t>
      </w:r>
      <w:r>
        <w:t xml:space="preserve"> </w:t>
      </w:r>
      <w:r>
        <w:t xml:space="preserve">– TCP-приёмник генерирует и отправляет ACK пакеты отправителю и откидывает полученные пакеты;</w:t>
      </w:r>
      <w:r>
        <w:t xml:space="preserve"> </w:t>
      </w:r>
      <w:r>
        <w:t xml:space="preserve">– UDP-агент, который подсоединён к узлу n1, подключён к null-агенту на узле n3 (null-агент просто откидывает пакеты);</w:t>
      </w:r>
      <w:r>
        <w:t xml:space="preserve"> </w:t>
      </w:r>
      <w:r>
        <w:t xml:space="preserve">– генераторы трафика ftp и cbr прикреплены к TCP и UDP агентам соответственно;</w:t>
      </w:r>
      <w:r>
        <w:t xml:space="preserve"> </w:t>
      </w:r>
      <w:r>
        <w:t xml:space="preserve">– генератор cbr генерирует пакеты размером 1 Кбайт со скоростью 1 Мбит/с;</w:t>
      </w:r>
      <w:r>
        <w:t xml:space="preserve"> </w:t>
      </w:r>
      <w:r>
        <w:t xml:space="preserve">– работа cbr начинается в 0,1 секунду и прекращается в 4,5 секунды, а ftp начинает работать в 1,0 секунду и прекращает в 4,0 секунды (рис. 11).</w:t>
      </w:r>
    </w:p>
    <w:p>
      <w:pPr>
        <w:pStyle w:val="CaptionedFigure"/>
      </w:pPr>
      <w:bookmarkStart w:id="66" w:name="fig:011"/>
      <w:r>
        <w:drawing>
          <wp:inline>
            <wp:extent cx="5334000" cy="7849518"/>
            <wp:effectExtent b="0" l="0" r="0" t="0"/>
            <wp:docPr descr="Рис. 11: Код для усложненной топологии сет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Код для усложненной топологии сети</w:t>
      </w:r>
    </w:p>
    <w:p>
      <w:pPr>
        <w:pStyle w:val="BodyText"/>
      </w:pPr>
      <w:r>
        <w:t xml:space="preserve">Запускаем процесс и, нажав кнопку</w:t>
      </w:r>
      <w:r>
        <w:t xml:space="preserve"> </w:t>
      </w:r>
      <w:r>
        <w:rPr>
          <w:iCs/>
          <w:i/>
        </w:rPr>
        <w:t xml:space="preserve">play</w:t>
      </w:r>
      <w:r>
        <w:t xml:space="preserve">, наблюдаем его симуляцию (рис. 12, 13, 14).</w:t>
      </w:r>
    </w:p>
    <w:p>
      <w:pPr>
        <w:pStyle w:val="CaptionedFigure"/>
      </w:pPr>
      <w:bookmarkStart w:id="70" w:name="fig:012"/>
      <w:r>
        <w:drawing>
          <wp:inline>
            <wp:extent cx="5334000" cy="3752892"/>
            <wp:effectExtent b="0" l="0" r="0" t="0"/>
            <wp:docPr descr="Рис. 12: Просмотр процесса (1)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Просмотр процесса (1)</w:t>
      </w:r>
    </w:p>
    <w:p>
      <w:pPr>
        <w:pStyle w:val="CaptionedFigure"/>
      </w:pPr>
      <w:bookmarkStart w:id="74" w:name="fig:013"/>
      <w:r>
        <w:drawing>
          <wp:inline>
            <wp:extent cx="5334000" cy="3652694"/>
            <wp:effectExtent b="0" l="0" r="0" t="0"/>
            <wp:docPr descr="Рис. 13: Просмотр процесса (2)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Просмотр процесса (2)</w:t>
      </w:r>
    </w:p>
    <w:p>
      <w:pPr>
        <w:pStyle w:val="CaptionedFigure"/>
      </w:pPr>
      <w:bookmarkStart w:id="78" w:name="fig:014"/>
      <w:r>
        <w:drawing>
          <wp:inline>
            <wp:extent cx="5334000" cy="3667485"/>
            <wp:effectExtent b="0" l="0" r="0" t="0"/>
            <wp:docPr descr="Рис. 14: Просмотр процесса (3)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Просмотр процесса (3)</w:t>
      </w:r>
    </w:p>
    <w:p>
      <w:pPr>
        <w:pStyle w:val="BodyText"/>
      </w:pPr>
      <w:r>
        <w:t xml:space="preserve">При запуске скрипта можно заметить, что по соединениям между узлами n(0)–&gt;n(2) и n(1)–&gt;n(2) к узлу n(2) передаётся данных больше, чем способно передаваться по соединению от узла n(2) к узлу n(3). Действительно, мы передаём 200 пакетов в секунду от каждого источника данных в узлах n(0) и n(1), а каждый пакет имеет размер 500 байт. Таким образом, полоса каждого соединения 0.8 Mb, а суммарная — 1.6Mb. Но соединение n(2)–&gt;n(3) имеет полосу лишь 1 Mb. Следовательно, часть пакетов должна теряться. В окне аниматора можно видеть пакеты в очереди, а также те пакеты, которые отбрасываются при переполнении.</w:t>
      </w:r>
    </w:p>
    <w:p>
      <w:pPr>
        <w:pStyle w:val="BodyText"/>
      </w:pPr>
      <w:r>
        <w:t xml:space="preserve">Создадим файл для новой топологии - кольцо (рис. 15).</w:t>
      </w:r>
    </w:p>
    <w:p>
      <w:pPr>
        <w:pStyle w:val="CaptionedFigure"/>
      </w:pPr>
      <w:bookmarkStart w:id="82" w:name="fig:015"/>
      <w:r>
        <w:drawing>
          <wp:inline>
            <wp:extent cx="5334000" cy="224182"/>
            <wp:effectExtent b="0" l="0" r="0" t="0"/>
            <wp:docPr descr="Рис. 15: Создание файла для образца 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файла для образца 2</w:t>
      </w:r>
    </w:p>
    <w:p>
      <w:pPr>
        <w:pStyle w:val="BodyText"/>
      </w:pPr>
      <w:r>
        <w:t xml:space="preserve">Затем смоделируем более сложную топологию сети - кольцо из семи узлов. Требования:</w:t>
      </w:r>
      <w:r>
        <w:t xml:space="preserve"> </w:t>
      </w:r>
      <w:r>
        <w:t xml:space="preserve">– сеть состоит из 7 узлов, соединённых в кольцо;</w:t>
      </w:r>
      <w:r>
        <w:t xml:space="preserve"> </w:t>
      </w:r>
      <w:r>
        <w:t xml:space="preserve">– данные передаются от узла n(0) к узлу n(3) по кратчайшему пути;</w:t>
      </w:r>
      <w:r>
        <w:t xml:space="preserve"> </w:t>
      </w:r>
      <w:r>
        <w:t xml:space="preserve">– с 1 по 2 секунду модельного времени происходит разрыв соединения между узлами n(1) и n(2);</w:t>
      </w:r>
    </w:p>
    <w:p>
      <w:pPr>
        <w:pStyle w:val="BodyText"/>
      </w:pPr>
      <w:r>
        <w:t xml:space="preserve">Напишем код (рис. 16).</w:t>
      </w:r>
    </w:p>
    <w:p>
      <w:pPr>
        <w:pStyle w:val="CaptionedFigure"/>
      </w:pPr>
      <w:bookmarkStart w:id="86" w:name="fig:016"/>
      <w:r>
        <w:drawing>
          <wp:inline>
            <wp:extent cx="5334000" cy="7504071"/>
            <wp:effectExtent b="0" l="0" r="0" t="0"/>
            <wp:docPr descr="Рис. 16: Просмотр процесс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Просмотр процесса</w:t>
      </w:r>
    </w:p>
    <w:p>
      <w:pPr>
        <w:pStyle w:val="BodyText"/>
      </w:pPr>
      <w:r>
        <w:t xml:space="preserve">Запускаем процесс и, нажав кнопку</w:t>
      </w:r>
      <w:r>
        <w:t xml:space="preserve"> </w:t>
      </w:r>
      <w:r>
        <w:rPr>
          <w:iCs/>
          <w:i/>
        </w:rPr>
        <w:t xml:space="preserve">play</w:t>
      </w:r>
      <w:r>
        <w:t xml:space="preserve">, наблюдаем его симуляцию (рис. 17).</w:t>
      </w:r>
    </w:p>
    <w:p>
      <w:pPr>
        <w:pStyle w:val="CaptionedFigure"/>
      </w:pPr>
      <w:bookmarkStart w:id="90" w:name="fig:017"/>
      <w:r>
        <w:drawing>
          <wp:inline>
            <wp:extent cx="5334000" cy="3739298"/>
            <wp:effectExtent b="0" l="0" r="0" t="0"/>
            <wp:docPr descr="Рис. 17: Просмотр процесс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Просмотр процесса</w:t>
      </w:r>
    </w:p>
    <w:p>
      <w:pPr>
        <w:pStyle w:val="BodyText"/>
      </w:pPr>
      <w:r>
        <w:t xml:space="preserve">Нажав на кнопку</w:t>
      </w:r>
      <w:r>
        <w:t xml:space="preserve"> </w:t>
      </w:r>
      <w:r>
        <w:rPr>
          <w:iCs/>
          <w:i/>
        </w:rPr>
        <w:t xml:space="preserve">edit</w:t>
      </w:r>
      <w:r>
        <w:t xml:space="preserve"> </w:t>
      </w:r>
      <w:r>
        <w:t xml:space="preserve">слева, можно сделать процесс более понятным (красиво перерисовать, чтобы смотрелось действительно как кольцо) (рис. 18). Можно заметить, что на секундах с 0й по 1ую данные передаются из 0 в 3 по кратайшему пути (через 1 и 2), а затем, когда происходит разрыв соединения между 1 и 2 на 2й секунде, данные идут от 0 в 3 по длинному пути (6, 5 и 4), а затем снова идут по кратчайшему пути, когда соединение между узлами 1 и 2 восстанавливается (рис. 19, 20).</w:t>
      </w:r>
    </w:p>
    <w:p>
      <w:pPr>
        <w:pStyle w:val="CaptionedFigure"/>
      </w:pPr>
      <w:bookmarkStart w:id="94" w:name="fig:018"/>
      <w:r>
        <w:drawing>
          <wp:inline>
            <wp:extent cx="5334000" cy="4222750"/>
            <wp:effectExtent b="0" l="0" r="0" t="0"/>
            <wp:docPr descr="Рис. 18: Просмотр процесса (1)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Просмотр процесса (1)</w:t>
      </w:r>
    </w:p>
    <w:p>
      <w:pPr>
        <w:pStyle w:val="CaptionedFigure"/>
      </w:pPr>
      <w:bookmarkStart w:id="98" w:name="fig:019"/>
      <w:r>
        <w:drawing>
          <wp:inline>
            <wp:extent cx="5334000" cy="4226812"/>
            <wp:effectExtent b="0" l="0" r="0" t="0"/>
            <wp:docPr descr="Рис. 19: Просмотр процесса (2)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Просмотр процесса (2)</w:t>
      </w:r>
    </w:p>
    <w:p>
      <w:pPr>
        <w:pStyle w:val="CaptionedFigure"/>
      </w:pPr>
      <w:bookmarkStart w:id="102" w:name="fig:020"/>
      <w:r>
        <w:drawing>
          <wp:inline>
            <wp:extent cx="5334000" cy="4210322"/>
            <wp:effectExtent b="0" l="0" r="0" t="0"/>
            <wp:docPr descr="Рис. 20: Просмотр процесса (3)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Просмотр процесса (3)</w:t>
      </w:r>
    </w:p>
    <w:p>
      <w:pPr>
        <w:pStyle w:val="BodyText"/>
      </w:pPr>
      <w:r>
        <w:t xml:space="preserve">Пришло время для самостоятельной работы. Теперь требуется построить сеть из 6 узлов, 5 из которых образуют кольцо, а из узла 1 выходит узел 5, при этом:</w:t>
      </w:r>
    </w:p>
    <w:p>
      <w:pPr>
        <w:numPr>
          <w:ilvl w:val="0"/>
          <w:numId w:val="1001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1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</w:t>
      </w:r>
    </w:p>
    <w:p>
      <w:pPr>
        <w:numPr>
          <w:ilvl w:val="0"/>
          <w:numId w:val="1001"/>
        </w:numPr>
        <w:pStyle w:val="Compact"/>
      </w:pPr>
      <w:r>
        <w:t xml:space="preserve">поверх TCP работает протокол FTP с 0,5 до 4,5 секунд модельного времени;</w:t>
      </w:r>
    </w:p>
    <w:p>
      <w:pPr>
        <w:numPr>
          <w:ilvl w:val="0"/>
          <w:numId w:val="1001"/>
        </w:numPr>
        <w:pStyle w:val="Compact"/>
      </w:pPr>
      <w:r>
        <w:t xml:space="preserve">с 1 по 2 секунду модельного времени происходит разрыв соединения между узлами n(0) и n(1);</w:t>
      </w:r>
    </w:p>
    <w:p>
      <w:pPr>
        <w:numPr>
          <w:ilvl w:val="0"/>
          <w:numId w:val="1001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>
      <w:pPr>
        <w:pStyle w:val="FirstParagraph"/>
      </w:pPr>
      <w:r>
        <w:t xml:space="preserve">Пишем код (рис. 21).</w:t>
      </w:r>
    </w:p>
    <w:p>
      <w:pPr>
        <w:pStyle w:val="CaptionedFigure"/>
      </w:pPr>
      <w:bookmarkStart w:id="106" w:name="fig:021"/>
      <w:r>
        <w:drawing>
          <wp:inline>
            <wp:extent cx="5334000" cy="4988169"/>
            <wp:effectExtent b="0" l="0" r="0" t="0"/>
            <wp:docPr descr="Рис. 21: Код для самостоятельной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для самостоятельной работы</w:t>
      </w:r>
    </w:p>
    <w:p>
      <w:pPr>
        <w:pStyle w:val="BodyText"/>
      </w:pPr>
      <w:r>
        <w:t xml:space="preserve">Я решила включить 5 узлов с 0го по 4й в кольцо, а затем привязать к узлу 1 узел 5 отдельно. Узлы с 0го по 4й связала между собой дуплексными соединениями по порядку, чтобы получилось кольцо. Между первым и пятым узлом установила дуплексное соединение отдельно. Затем подключила Агентов tcp и tcpSink и приложение ftp, установила разрыв между 0 и 1 на 2й секунде (с 1й по 2ую секунду). ftp запускается через полсекнды, и заканчивает работу в 4,5 секунды. Всего передача данных от узла 0 к узлу 5 длится 5 секунд.</w:t>
      </w:r>
    </w:p>
    <w:p>
      <w:pPr>
        <w:pStyle w:val="BodyText"/>
      </w:pPr>
      <w:r>
        <w:t xml:space="preserve">Запускаем файл и видим наш процесс (рис. 22).</w:t>
      </w:r>
    </w:p>
    <w:p>
      <w:pPr>
        <w:pStyle w:val="CaptionedFigure"/>
      </w:pPr>
      <w:bookmarkStart w:id="110" w:name="fig:022"/>
      <w:r>
        <w:drawing>
          <wp:inline>
            <wp:extent cx="5334000" cy="4529357"/>
            <wp:effectExtent b="0" l="0" r="0" t="0"/>
            <wp:docPr descr="Рис. 22: Иллюстрация процесса из задания в самостоятельной работе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Иллюстрация процесса из задания в самостоятельной работе</w:t>
      </w:r>
    </w:p>
    <w:p>
      <w:pPr>
        <w:pStyle w:val="BodyText"/>
      </w:pPr>
      <w:r>
        <w:t xml:space="preserve">Нажав на кнопку</w:t>
      </w:r>
      <w:r>
        <w:t xml:space="preserve"> </w:t>
      </w:r>
      <w:r>
        <w:rPr>
          <w:iCs/>
          <w:i/>
        </w:rPr>
        <w:t xml:space="preserve">play</w:t>
      </w:r>
      <w:r>
        <w:t xml:space="preserve">, мы увидим, как проходит процесс. Можно заметить, что на секундах с 0й по 1ую данные передаются из 0 в 5 по кратайшему пути (через 1), а затем, когда происходит разрыв соединения между 0 и 1 на 2й секунде (во время с 1й секунды по 2ую), данные идут от 0 в 5 по длинному пути (4, 3 и 2), а затем снова идут по кратчайшему пути, когда соединение между узлами 0 и 1 восстанавливается (рис. 23, 24, 25).</w:t>
      </w:r>
    </w:p>
    <w:p>
      <w:pPr>
        <w:pStyle w:val="CaptionedFigure"/>
      </w:pPr>
      <w:bookmarkStart w:id="114" w:name="fig:023"/>
      <w:r>
        <w:drawing>
          <wp:inline>
            <wp:extent cx="5334000" cy="4559919"/>
            <wp:effectExtent b="0" l="0" r="0" t="0"/>
            <wp:docPr descr="Рис. 23: Просмотр процесса (1)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Просмотр процесса (1)</w:t>
      </w:r>
    </w:p>
    <w:p>
      <w:pPr>
        <w:pStyle w:val="CaptionedFigure"/>
      </w:pPr>
      <w:bookmarkStart w:id="118" w:name="fig:024"/>
      <w:r>
        <w:drawing>
          <wp:inline>
            <wp:extent cx="5334000" cy="4554365"/>
            <wp:effectExtent b="0" l="0" r="0" t="0"/>
            <wp:docPr descr="Рис. 24: Просмотр процесса (2)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Просмотр процесса (2)</w:t>
      </w:r>
    </w:p>
    <w:p>
      <w:pPr>
        <w:pStyle w:val="CaptionedFigure"/>
      </w:pPr>
      <w:bookmarkStart w:id="122" w:name="fig:025"/>
      <w:r>
        <w:drawing>
          <wp:inline>
            <wp:extent cx="5334000" cy="4557077"/>
            <wp:effectExtent b="0" l="0" r="0" t="0"/>
            <wp:docPr descr="Рис. 25: Просмотр процесса (3)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Просмотр процесса (3)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научилась работать со средством ns-2: моделировать пустой процесс и процессы с простыми и сложными топологиями, а также с динамической маршрутизацией и условиями, накладывающимися на передачу данных.</w:t>
      </w:r>
    </w:p>
    <w:bookmarkEnd w:id="124"/>
    <w:bookmarkStart w:id="12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Заборовский В. С. Моделирование и анализ сетей связи с коммутацией пакетов. Network Simulator (Сетевой симулятор ns2). — СПб : Изд-во СПбГТУ, 2001. — 108 с.</w:t>
      </w:r>
    </w:p>
    <w:p>
      <w:pPr>
        <w:numPr>
          <w:ilvl w:val="0"/>
          <w:numId w:val="1002"/>
        </w:numPr>
        <w:pStyle w:val="Compact"/>
      </w:pPr>
      <w:r>
        <w:t xml:space="preserve">Exercises on ”ns-2” / C. Barakat. — Заявл. 2003.</w:t>
      </w:r>
    </w:p>
    <w:p>
      <w:pPr>
        <w:numPr>
          <w:ilvl w:val="0"/>
          <w:numId w:val="1002"/>
        </w:numPr>
        <w:pStyle w:val="Compact"/>
      </w:pPr>
      <w:r>
        <w:t xml:space="preserve">Галкин А. М., Кучерявый Е. А., Молчанов Д. А. Пакет моделирования NS-2: учеб. пособие. — СПб : СПбГУТ, 2007.</w:t>
      </w:r>
    </w:p>
    <w:p>
      <w:pPr>
        <w:numPr>
          <w:ilvl w:val="0"/>
          <w:numId w:val="1002"/>
        </w:numPr>
        <w:pStyle w:val="Compact"/>
      </w:pPr>
      <w:r>
        <w:t xml:space="preserve">Заборовский В. С., Мулюха В. А., Подгурский Ю. Е. Моделирование и анализ компьютерных сетей: телематический подход. — СПб: Изд-во СПбГПУ, 2010. — 93 с.</w:t>
      </w:r>
    </w:p>
    <w:bookmarkStart w:id="125" w:name="refs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Ибатулина Дарья Эдуардовна</dc:creator>
  <dc:language>ru-RU</dc:language>
  <cp:keywords/>
  <dcterms:created xsi:type="dcterms:W3CDTF">2025-02-11T17:30:45Z</dcterms:created>
  <dcterms:modified xsi:type="dcterms:W3CDTF">2025-02-11T17:30:45Z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Listing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List of Listings</vt:lpwstr>
  </property>
  <property fmtid="{D5CDD505-2E9C-101B-9397-08002B2CF9AE}" pid="46" name="lot">
    <vt:lpwstr>False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модели компьютерной сети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Table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