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 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 цвет траекторий, подписи к осям, подпись траектории в легенде).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numPr>
          <w:ilvl w:val="0"/>
          <w:numId w:val="1002"/>
        </w:numPr>
      </w:pPr>
      <w:r>
        <w:t xml:space="preserve">Флаг Указатель срочности (Urgent Pointer, URG) устанавливается в 1 в случае использования поля Указатель на срочные данные.</w:t>
      </w:r>
    </w:p>
    <w:p>
      <w:pPr>
        <w:numPr>
          <w:ilvl w:val="0"/>
          <w:numId w:val="1002"/>
        </w:numPr>
      </w:pPr>
      <w:r>
        <w:t xml:space="preserve">Флаг Подтверждение (Acknowledgment, ACK) устанавливается в 1 в случае, если поле Номер подтверждения (Acknowledgement Number) содержит данные. В противном случае это поле игнорируется.</w:t>
      </w:r>
    </w:p>
    <w:p>
      <w:pPr>
        <w:numPr>
          <w:ilvl w:val="0"/>
          <w:numId w:val="1002"/>
        </w:numPr>
      </w:pPr>
      <w:r>
        <w:t xml:space="preserve">Флаг Выталкивание (Push, PSH) означает, что принимающий стек TCP должен немедленно информировать приложение о поступивших данных, а не ждать, пока буфер заполнится.</w:t>
      </w:r>
    </w:p>
    <w:p>
      <w:pPr>
        <w:numPr>
          <w:ilvl w:val="0"/>
          <w:numId w:val="1002"/>
        </w:numPr>
      </w:pPr>
      <w:r>
        <w:t xml:space="preserve">Флаг Сброс (Reset, RST) используется для отмены соединения из-за ошибки приложения, отказа от неверного сегмента, попытки создать соединение при отсутствии затребованного сервиса.</w:t>
      </w:r>
    </w:p>
    <w:p>
      <w:pPr>
        <w:numPr>
          <w:ilvl w:val="0"/>
          <w:numId w:val="1002"/>
        </w:numPr>
      </w:pPr>
      <w:r>
        <w:t xml:space="preserve">Флаг Синхронизация (Synchronize, SYN) устанавливается при инициировании соединения и синхронизации порядкового номера.</w:t>
      </w:r>
    </w:p>
    <w:p>
      <w:pPr>
        <w:numPr>
          <w:ilvl w:val="0"/>
          <w:numId w:val="1002"/>
        </w:numPr>
      </w:pPr>
      <w:r>
        <w:t xml:space="preserve">Флаг Завершение (Finished, FIN) используется для разрыва соединения. Он указывает, что отправитель закончил передачу данных.</w:t>
      </w:r>
    </w:p>
    <w:p>
      <w:pPr>
        <w:pStyle w:val="FirstParagraph"/>
      </w:pPr>
      <w:r>
        <w:t xml:space="preserve">Управление потоком в протоколе TCP осуществляется при помощи скользящего окна переменного размера: поле Размер окна (Window) (длина 16 бит) содержит количество байт, которое может быть послано после байта, получение которого уже подтверждено; еслизначениеэтогополяравнонулю,этоозначает,чтовсебайты,вплоть до байта с номером Номер подтверждения - 1, получены, но получатель отказывается принимать дальнейшие данные; разрешение на дальнейшую передачу может быть выдано отправкой сегмента с таким же значением поля Номер подтверждения и ненулевым значением поля Размер окна.</w:t>
      </w:r>
    </w:p>
    <w:p>
      <w:pPr>
        <w:pStyle w:val="BodyText"/>
      </w:pPr>
      <w:r>
        <w:t xml:space="preserve">Регулирование трафика в TCP: контроль доставки — отслеживает заполнение входного буфера получателя с помощью параметра Размер окна (Window); контроль перегрузки — регистрирует перегрузку канала и связанные с этим</w:t>
      </w:r>
      <w:r>
        <w:t xml:space="preserve"> </w:t>
      </w:r>
      <w:r>
        <w:t xml:space="preserve">потери, а также понижает интенсивность трафика с помощью Окна перегрузки (Congestion Window, CWnd) и Порога медленного старта (Slow Start Threshold, SSThreth).</w:t>
      </w:r>
    </w:p>
    <w:p>
      <w:pPr>
        <w:pStyle w:val="BodyText"/>
      </w:pPr>
      <w:r>
        <w:t xml:space="preserve">В ns-2 поддерживает следующие TCP-агенты односторонней передачи:</w:t>
      </w:r>
    </w:p>
    <w:p>
      <w:pPr>
        <w:numPr>
          <w:ilvl w:val="0"/>
          <w:numId w:val="1003"/>
        </w:numPr>
      </w:pPr>
      <w:r>
        <w:t xml:space="preserve">Agent/TCP</w:t>
      </w:r>
    </w:p>
    <w:p>
      <w:pPr>
        <w:numPr>
          <w:ilvl w:val="0"/>
          <w:numId w:val="1003"/>
        </w:numPr>
      </w:pPr>
      <w:r>
        <w:t xml:space="preserve">Agent/TCP/Reno</w:t>
      </w:r>
    </w:p>
    <w:p>
      <w:pPr>
        <w:numPr>
          <w:ilvl w:val="0"/>
          <w:numId w:val="1003"/>
        </w:numPr>
      </w:pPr>
      <w:r>
        <w:t xml:space="preserve">Agent/TCP/Newreno</w:t>
      </w:r>
    </w:p>
    <w:p>
      <w:pPr>
        <w:numPr>
          <w:ilvl w:val="0"/>
          <w:numId w:val="1003"/>
        </w:numPr>
      </w:pPr>
      <w:r>
        <w:t xml:space="preserve">Agent/TCP/Sack1 — TCP с выборочным повтором (RFC2018)</w:t>
      </w:r>
    </w:p>
    <w:p>
      <w:pPr>
        <w:numPr>
          <w:ilvl w:val="0"/>
          <w:numId w:val="1003"/>
        </w:numPr>
      </w:pPr>
      <w:r>
        <w:t xml:space="preserve">Agent/TCP/Vegas</w:t>
      </w:r>
    </w:p>
    <w:p>
      <w:pPr>
        <w:numPr>
          <w:ilvl w:val="0"/>
          <w:numId w:val="1003"/>
        </w:numPr>
      </w:pPr>
      <w:r>
        <w:t xml:space="preserve">Agent/TCP/Fack — Reno TCP с «последующим подтверждением»</w:t>
      </w:r>
    </w:p>
    <w:p>
      <w:pPr>
        <w:numPr>
          <w:ilvl w:val="0"/>
          <w:numId w:val="1003"/>
        </w:numPr>
      </w:pPr>
      <w:r>
        <w:t xml:space="preserve">Agent/TCP/Linux — TCP-передатчик с поддержкой SACK, который использует TCP сперезагрузкой контрольных модулей из ядра Linux</w:t>
      </w:r>
    </w:p>
    <w:p>
      <w:pPr>
        <w:pStyle w:val="FirstParagraph"/>
      </w:pPr>
      <w:r>
        <w:t xml:space="preserve">Односторонние агенты приёма:</w:t>
      </w:r>
    </w:p>
    <w:p>
      <w:pPr>
        <w:numPr>
          <w:ilvl w:val="0"/>
          <w:numId w:val="1004"/>
        </w:numPr>
      </w:pPr>
      <w:r>
        <w:t xml:space="preserve">Agent/TCPSink</w:t>
      </w:r>
    </w:p>
    <w:p>
      <w:pPr>
        <w:numPr>
          <w:ilvl w:val="0"/>
          <w:numId w:val="1004"/>
        </w:numPr>
      </w:pPr>
      <w:r>
        <w:t xml:space="preserve">Agent/TCPSink/DelAck</w:t>
      </w:r>
    </w:p>
    <w:p>
      <w:pPr>
        <w:numPr>
          <w:ilvl w:val="0"/>
          <w:numId w:val="1004"/>
        </w:numPr>
      </w:pPr>
      <w:r>
        <w:t xml:space="preserve">Agent/TCPSink/Sack1</w:t>
      </w:r>
    </w:p>
    <w:p>
      <w:pPr>
        <w:numPr>
          <w:ilvl w:val="0"/>
          <w:numId w:val="1004"/>
        </w:numPr>
      </w:pPr>
      <w:r>
        <w:t xml:space="preserve">Agent/TCPSink/Sack1/DelAck</w:t>
      </w:r>
    </w:p>
    <w:p>
      <w:pPr>
        <w:pStyle w:val="FirstParagraph"/>
      </w:pPr>
      <w:r>
        <w:t xml:space="preserve">Двунаправленный агент:</w:t>
      </w:r>
    </w:p>
    <w:p>
      <w:pPr>
        <w:numPr>
          <w:ilvl w:val="0"/>
          <w:numId w:val="1005"/>
        </w:numPr>
        <w:pStyle w:val="Compact"/>
      </w:pPr>
      <w:r>
        <w:t xml:space="preserve">Agent/TCP/FullTcp</w:t>
      </w:r>
    </w:p>
    <w:p>
      <w:pPr>
        <w:pStyle w:val="FirstParagraph"/>
      </w:pPr>
      <w:r>
        <w:t xml:space="preserve">TCPReno:</w:t>
      </w:r>
      <w:r>
        <w:t xml:space="preserve"> </w:t>
      </w:r>
      <w:r>
        <w:t xml:space="preserve">- медленный старт (Slow-Start);</w:t>
      </w:r>
    </w:p>
    <w:p>
      <w:pPr>
        <w:numPr>
          <w:ilvl w:val="0"/>
          <w:numId w:val="1006"/>
        </w:numPr>
      </w:pPr>
      <w:r>
        <w:t xml:space="preserve">контроль перегрузки (Congestion Avoidance);</w:t>
      </w:r>
    </w:p>
    <w:p>
      <w:pPr>
        <w:numPr>
          <w:ilvl w:val="0"/>
          <w:numId w:val="1006"/>
        </w:numPr>
      </w:pPr>
      <w:r>
        <w:t xml:space="preserve">быстрый повтор передачи (Fast Retransmit);</w:t>
      </w:r>
    </w:p>
    <w:p>
      <w:pPr>
        <w:numPr>
          <w:ilvl w:val="0"/>
          <w:numId w:val="1006"/>
        </w:numPr>
      </w:pPr>
      <w:r>
        <w:t xml:space="preserve">процедура быстрого восстановления (Fast Recovery);</w:t>
      </w:r>
    </w:p>
    <w:p>
      <w:pPr>
        <w:numPr>
          <w:ilvl w:val="0"/>
          <w:numId w:val="1006"/>
        </w:numPr>
      </w:pPr>
      <w:r>
        <w:t xml:space="preserve">метод оценки длительности цикла передачи (Round Trip Time, RTT), используемой для установки таймера повторной передачи (Retransmission TimeOut, RTO).</w:t>
      </w:r>
    </w:p>
    <w:p>
      <w:pPr>
        <w:pStyle w:val="FirstParagraph"/>
      </w:pPr>
      <w:r>
        <w:t xml:space="preserve">Схема работы TCP Reno:</w:t>
      </w:r>
    </w:p>
    <w:p>
      <w:pPr>
        <w:numPr>
          <w:ilvl w:val="0"/>
          <w:numId w:val="1007"/>
        </w:numPr>
      </w:pPr>
      <w:r>
        <w:t xml:space="preserve">размер окна увеличивается до тех пор, пока не произойдёт потеря сегмента (аналогично TCP Tahoe) – фаза медленного старта и фаза избежания перегрузки;</w:t>
      </w:r>
    </w:p>
    <w:p>
      <w:pPr>
        <w:numPr>
          <w:ilvl w:val="0"/>
          <w:numId w:val="1007"/>
        </w:numPr>
      </w:pPr>
      <w:r>
        <w:t xml:space="preserve">алгоритм не требует освобождения канала и его медленного (slow-start) заполнения после потери одного пакета;</w:t>
      </w:r>
    </w:p>
    <w:p>
      <w:pPr>
        <w:numPr>
          <w:ilvl w:val="0"/>
          <w:numId w:val="1007"/>
        </w:numPr>
      </w:pPr>
      <w:r>
        <w:t xml:space="preserve">отправитель переходит в режим быстрого восстановления, после получения некоторого предельного числа дублирующих подтверждений — отправитель повторяет передачу одного пакета и уменьшает окно перегрузки (cwnd) в два раза и устанавливает ssthresh_ в соответствии с этим значением.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пример-с-дисциплиной-re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Пример с дисциплиной RED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Описание моделируемой сети:</w:t>
      </w:r>
    </w:p>
    <w:p>
      <w:pPr>
        <w:numPr>
          <w:ilvl w:val="0"/>
          <w:numId w:val="1008"/>
        </w:numPr>
      </w:pPr>
      <w:r>
        <w:t xml:space="preserve">сеть состоит из 6 узлов;</w:t>
      </w:r>
    </w:p>
    <w:p>
      <w:pPr>
        <w:numPr>
          <w:ilvl w:val="0"/>
          <w:numId w:val="1008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8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8"/>
        </w:numPr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8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Требуется разработать сценарий, реализующий модель согласно описанию, построить в Xgraph график изменения TCP-окна, график изменения длины очереди и средней длины очереди. Запускаю скрипт, выполняющий данную задачу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02856"/>
            <wp:effectExtent b="0" l="0" r="0" t="0"/>
            <wp:docPr descr="Figure 1: Запуск скрип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скрипта</w:t>
      </w:r>
    </w:p>
    <w:bookmarkEnd w:id="0"/>
    <w:p>
      <w:pPr>
        <w:pStyle w:val="BodyText"/>
      </w:pPr>
      <w:r>
        <w:t xml:space="preserve">Скрипт приведен ниже: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И вот, какой результат получился после запуска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039710"/>
            <wp:effectExtent b="0" l="0" r="0" t="0"/>
            <wp:docPr descr="Figure 2: График динамики размера окна TCP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динамики размера окна TCP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844925"/>
            <wp:effectExtent b="0" l="0" r="0" t="0"/>
            <wp:docPr descr="Figure 3: График динамики длины очереди и средней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динамики длины очереди и средней длины очереди</w:t>
      </w:r>
    </w:p>
    <w:bookmarkEnd w:id="0"/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почти достигает значения 14.</w:t>
      </w:r>
    </w:p>
    <w:bookmarkEnd w:id="35"/>
    <w:bookmarkStart w:id="60" w:name="упражнение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Упражнение 1</w:t>
      </w:r>
    </w:p>
    <w:p>
      <w:pPr>
        <w:pStyle w:val="FirstParagraph"/>
      </w:pPr>
      <w:r>
        <w:t xml:space="preserve">Измените в модели на узле s1 тип протокола TCP с Reno на NewReno, затем на Vegas. Сравните и поясните результаты.</w:t>
      </w:r>
    </w:p>
    <w:p>
      <w:pPr>
        <w:numPr>
          <w:ilvl w:val="0"/>
          <w:numId w:val="1009"/>
        </w:numPr>
        <w:pStyle w:val="Compact"/>
      </w:pPr>
      <w:r>
        <w:t xml:space="preserve">Заменим на NewReno тип протокола s1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Посмотрим, какой получился результат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115212"/>
            <wp:effectExtent b="0" l="0" r="0" t="0"/>
            <wp:docPr descr="Figure 4: Изменение типа протокола на NewReno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Изменение типа протокола на NewReno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5547359"/>
            <wp:effectExtent b="0" l="0" r="0" t="0"/>
            <wp:docPr descr="Figure 5: График динамики размера окна TCP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График динамики размера окна TCP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5546651"/>
            <wp:effectExtent b="0" l="0" r="0" t="0"/>
            <wp:docPr descr="Figure 6: График динамики длины очереди и средней длины очереди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График динамики длины очереди и средней длины очереди</w:t>
      </w:r>
    </w:p>
    <w:bookmarkEnd w:id="0"/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не достигает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numPr>
          <w:ilvl w:val="0"/>
          <w:numId w:val="1010"/>
        </w:numPr>
        <w:pStyle w:val="Compact"/>
      </w:pPr>
      <w:r>
        <w:t xml:space="preserve">Заменим на Vegas тип протокола s1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Посмотрим, какой получился результат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1179376"/>
            <wp:effectExtent b="0" l="0" r="0" t="0"/>
            <wp:docPr descr="Figure 7: Изменение типа протокола на Vegas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Изменение типа протокола на Vegas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556621"/>
            <wp:effectExtent b="0" l="0" r="0" t="0"/>
            <wp:docPr descr="Figure 8: График динамики размера окна TCP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График динамики размера окна TCP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5511800"/>
            <wp:effectExtent b="0" l="0" r="0" t="0"/>
            <wp:docPr descr="Figure 9: График динамики длины очереди и средней длины очеред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График динамики длины очереди и средней длины очереди</w:t>
      </w:r>
    </w:p>
    <w:bookmarkEnd w:id="0"/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60"/>
    <w:bookmarkStart w:id="69" w:name="упражнение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Упражнение 2</w:t>
      </w:r>
    </w:p>
    <w:p>
      <w:pPr>
        <w:pStyle w:val="FirstParagraph"/>
      </w:pPr>
      <w:r>
        <w:t xml:space="preserve">Внесите изменения при отображении окон с графиками (измените цвет фона, цвет траекторий, подписи к осям, подпись траектории в легенде). Заменим это в коде (В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iCs/>
          <w:i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-bg</w:t>
      </w:r>
      <w:r>
        <w:t xml:space="preserve"> </w:t>
      </w:r>
      <w:r>
        <w:t xml:space="preserve">изменим цвет текста и фона в</w:t>
      </w:r>
      <w:r>
        <w:t xml:space="preserve"> </w:t>
      </w:r>
      <w:r>
        <w:rPr>
          <w:iCs/>
          <w:i/>
        </w:rPr>
        <w:t xml:space="preserve">xgraph</w:t>
      </w:r>
      <w:r>
        <w:t xml:space="preserve">) и посмотрим, какие результаты получились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5566691"/>
            <wp:effectExtent b="0" l="0" r="0" t="0"/>
            <wp:docPr descr="Figure 10: График динамики размера окна TCP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График динамики размера окна TCP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5511800"/>
            <wp:effectExtent b="0" l="0" r="0" t="0"/>
            <wp:docPr descr="Figure 11: График динамики длины очереди и средней длины очереди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График динамики длины очереди и средней длины очереди</w:t>
      </w:r>
    </w:p>
    <w:bookmarkEnd w:id="0"/>
    <w:p>
      <w:pPr>
        <w:pStyle w:val="BodyText"/>
      </w:pPr>
      <w:r>
        <w:t xml:space="preserve">Так выглядит скрипт: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green"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puts $f "0.Color: Blue"</w:t>
      </w:r>
      <w:r>
        <w:br/>
      </w:r>
      <w:r>
        <w:rPr>
          <w:rStyle w:val="VerbatimChar"/>
        </w:rPr>
        <w:t xml:space="preserve">  puts $f "1.Color: Pink"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close $tchan_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\"Queue"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\n\"Average_queue_size"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-fg pink -bg purple -bb -tk -x time -t "TCPRenoCWND" WindowVsTimeReno &amp;</w:t>
      </w:r>
      <w:r>
        <w:br/>
      </w:r>
      <w:r>
        <w:rPr>
          <w:rStyle w:val="VerbatimChar"/>
        </w:rPr>
        <w:t xml:space="preserve">  exec xgraph -fg white -bg purple -bb -tk -x time -y ochered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Black"</w:t>
      </w:r>
      <w:r>
        <w:br/>
      </w:r>
      <w:r>
        <w:rPr>
          <w:rStyle w:val="VerbatimChar"/>
        </w:rPr>
        <w:t xml:space="preserve">puts $windowVsTime \"Window_size"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исследовала протокол TCP и алгоритм управления очередью RED.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Королькова А.В., Кулябов Д.С. Руководство к лабораторной работе №2. Моделирование информационных процессов. - 2025. — 10 с.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Ибатулина Дарья Эдуардовна, НФИбд-01-22</dc:creator>
  <dc:language>ru-RU</dc:language>
  <cp:keywords/>
  <dcterms:created xsi:type="dcterms:W3CDTF">2025-02-21T16:32:19Z</dcterms:created>
  <dcterms:modified xsi:type="dcterms:W3CDTF">2025-02-21T16:32:19Z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