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bookmarkStart w:id="25" w:name="X3583c19f50e30089ae232a16b20878b05dc8898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Краткое теоретическое введение: модель «Накорми студентов» в CPN Tools</w:t>
      </w:r>
    </w:p>
    <w:bookmarkStart w:id="20" w:name="общее-описание-модел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Общее описание модели</w:t>
      </w:r>
    </w:p>
    <w:p>
      <w:pPr>
        <w:pStyle w:val="FirstParagraph"/>
      </w:pPr>
      <w:r>
        <w:t xml:space="preserve">Модель «Накорми студентов» представляет собой учебный пример</w:t>
      </w:r>
      <w:r>
        <w:t xml:space="preserve"> </w:t>
      </w:r>
      <w:r>
        <w:rPr>
          <w:bCs/>
          <w:b/>
        </w:rPr>
        <w:t xml:space="preserve">сети Петри</w:t>
      </w:r>
      <w:r>
        <w:t xml:space="preserve">, демонстрирующий базовые принципы дискретного моделирования систем с распределенными ресурсами. Она реализована в среде CPN Tools – специализированном инструменте для работы с раскрашенными сетями Петри (Colored Petri Nets)</w:t>
      </w:r>
      <w:r>
        <w:t xml:space="preserve"> </w:t>
      </w:r>
      <w:r>
        <w:t xml:space="preserve">[1,2]</w:t>
      </w:r>
      <w:r>
        <w:t xml:space="preserve">.</w:t>
      </w:r>
    </w:p>
    <w:bookmarkEnd w:id="20"/>
    <w:bookmarkStart w:id="21" w:name="ключевые-компоненты-системы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Ключевые компоненты системы</w:t>
      </w:r>
    </w:p>
    <w:p>
      <w:pPr>
        <w:pStyle w:val="FirstParagraph"/>
      </w:pPr>
      <w:r>
        <w:rPr>
          <w:bCs/>
          <w:b/>
        </w:rPr>
        <w:t xml:space="preserve">Позиции</w:t>
      </w:r>
      <w:r>
        <w:t xml:space="preserve"> </w:t>
      </w:r>
      <w:r>
        <w:t xml:space="preserve">(места):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Голодный студент</w:t>
      </w:r>
      <w:r>
        <w:t xml:space="preserve"> </w:t>
      </w:r>
      <w:r>
        <w:t xml:space="preserve">– содержит фишки, представляющие студентов в начальном состоянии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Пирожки</w:t>
      </w:r>
      <w:r>
        <w:t xml:space="preserve"> </w:t>
      </w:r>
      <w:r>
        <w:t xml:space="preserve">– хранит фишки-ресурсы (пироги)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Сытый студент</w:t>
      </w:r>
      <w:r>
        <w:t xml:space="preserve"> </w:t>
      </w:r>
      <w:r>
        <w:t xml:space="preserve">– конечное состояние после потребления ресурса</w:t>
      </w:r>
    </w:p>
    <w:p>
      <w:pPr>
        <w:pStyle w:val="FirstParagraph"/>
      </w:pPr>
      <w:r>
        <w:rPr>
          <w:bCs/>
          <w:b/>
        </w:rPr>
        <w:t xml:space="preserve">Переход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Съесть пирожок</w:t>
      </w:r>
      <w:r>
        <w:t xml:space="preserve"> </w:t>
      </w:r>
      <w:r>
        <w:t xml:space="preserve">– активируется при наличии фишек в обеих входных позициях</w:t>
      </w:r>
    </w:p>
    <w:p>
      <w:pPr>
        <w:pStyle w:val="BodyText"/>
      </w:pPr>
      <w:r>
        <w:rPr>
          <w:bCs/>
          <w:b/>
        </w:rPr>
        <w:t xml:space="preserve">Типы фишек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Студенты (идентифицируются уникальными метками)</w:t>
      </w:r>
    </w:p>
    <w:p>
      <w:pPr>
        <w:numPr>
          <w:ilvl w:val="0"/>
          <w:numId w:val="1002"/>
        </w:numPr>
      </w:pPr>
      <w:r>
        <w:t xml:space="preserve">Пироги (могут иметь параметры: тип начинки, вес и т.д.)</w:t>
      </w:r>
    </w:p>
    <w:bookmarkEnd w:id="21"/>
    <w:bookmarkStart w:id="22" w:name="логика-работы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Логика работы</w:t>
      </w:r>
    </w:p>
    <w:p>
      <w:pPr>
        <w:numPr>
          <w:ilvl w:val="0"/>
          <w:numId w:val="1003"/>
        </w:numPr>
      </w:pPr>
      <w:r>
        <w:t xml:space="preserve">Система инициализируется фишками в позициях «Голодный студент» и «Пирожки»</w:t>
      </w:r>
    </w:p>
    <w:p>
      <w:pPr>
        <w:numPr>
          <w:ilvl w:val="0"/>
          <w:numId w:val="1003"/>
        </w:numPr>
      </w:pPr>
      <w:r>
        <w:t xml:space="preserve">При активации перехода:</w:t>
      </w:r>
    </w:p>
    <w:p>
      <w:pPr>
        <w:numPr>
          <w:ilvl w:val="1"/>
          <w:numId w:val="1004"/>
        </w:numPr>
        <w:pStyle w:val="Compact"/>
      </w:pPr>
      <w:r>
        <w:t xml:space="preserve">Потребляется по одной фишке из каждой входной позиции</w:t>
      </w:r>
    </w:p>
    <w:p>
      <w:pPr>
        <w:numPr>
          <w:ilvl w:val="1"/>
          <w:numId w:val="1004"/>
        </w:numPr>
        <w:pStyle w:val="Compact"/>
      </w:pPr>
      <w:r>
        <w:t xml:space="preserve">Генерируется фишка в позиции «Сытый студент»</w:t>
      </w:r>
    </w:p>
    <w:p>
      <w:pPr>
        <w:numPr>
          <w:ilvl w:val="0"/>
          <w:numId w:val="1003"/>
        </w:numPr>
      </w:pPr>
      <w:r>
        <w:t xml:space="preserve">Процесс продолжается до исчерпания ресурсов</w:t>
      </w:r>
      <w:r>
        <w:t xml:space="preserve"> </w:t>
      </w:r>
      <w:r>
        <w:t xml:space="preserve">[3–5]</w:t>
      </w:r>
    </w:p>
    <w:p>
      <w:pPr>
        <w:pStyle w:val="SourceCode"/>
      </w:pPr>
      <w:r>
        <w:rPr>
          <w:rStyle w:val="VerbatimChar"/>
        </w:rPr>
        <w:t xml:space="preserve">// Пример структуры в нотации CPN Tools</w:t>
      </w:r>
      <w:r>
        <w:br/>
      </w:r>
      <w:r>
        <w:rPr>
          <w:rStyle w:val="VerbatimChar"/>
        </w:rPr>
        <w:t xml:space="preserve">place HungerStudents;</w:t>
      </w:r>
      <w:r>
        <w:br/>
      </w:r>
      <w:r>
        <w:rPr>
          <w:rStyle w:val="VerbatimChar"/>
        </w:rPr>
        <w:t xml:space="preserve">place Pies;</w:t>
      </w:r>
      <w:r>
        <w:br/>
      </w:r>
      <w:r>
        <w:rPr>
          <w:rStyle w:val="VerbatimChar"/>
        </w:rPr>
        <w:t xml:space="preserve">place FedStudents;</w:t>
      </w:r>
      <w:r>
        <w:br/>
      </w:r>
      <w:r>
        <w:br/>
      </w:r>
      <w:r>
        <w:rPr>
          <w:rStyle w:val="VerbatimChar"/>
        </w:rPr>
        <w:t xml:space="preserve">trans EatPie {</w:t>
      </w:r>
      <w:r>
        <w:br/>
      </w:r>
      <w:r>
        <w:rPr>
          <w:rStyle w:val="VerbatimChar"/>
        </w:rPr>
        <w:t xml:space="preserve">    from HungerStudents, Pies;</w:t>
      </w:r>
      <w:r>
        <w:br/>
      </w:r>
      <w:r>
        <w:rPr>
          <w:rStyle w:val="VerbatimChar"/>
        </w:rPr>
        <w:t xml:space="preserve">    to FedStudents;</w:t>
      </w:r>
      <w:r>
        <w:br/>
      </w:r>
      <w:r>
        <w:rPr>
          <w:rStyle w:val="VerbatimChar"/>
        </w:rPr>
        <w:t xml:space="preserve">    guard: count(Pies) &gt; 0;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особенности-реализации-в-cpn-tools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Особенности реализации в CPN Tools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Типизация данных</w:t>
      </w:r>
      <w:r>
        <w:t xml:space="preserve"> </w:t>
      </w:r>
      <w:r>
        <w:t xml:space="preserve">для фишек (студенты как сложные объекты с атрибутами)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Визуальное моделирование</w:t>
      </w:r>
      <w:r>
        <w:t xml:space="preserve"> </w:t>
      </w:r>
      <w:r>
        <w:t xml:space="preserve">состояний системы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Автоматическая валидация</w:t>
      </w:r>
      <w:r>
        <w:t xml:space="preserve"> </w:t>
      </w:r>
      <w:r>
        <w:t xml:space="preserve">корректности переходов</w:t>
      </w:r>
    </w:p>
    <w:p>
      <w:pPr>
        <w:numPr>
          <w:ilvl w:val="0"/>
          <w:numId w:val="1005"/>
        </w:numPr>
      </w:pPr>
      <w:r>
        <w:t xml:space="preserve">Возможность анализа</w:t>
      </w:r>
      <w:r>
        <w:t xml:space="preserve"> </w:t>
      </w:r>
      <w:r>
        <w:rPr>
          <w:bCs/>
          <w:b/>
        </w:rPr>
        <w:t xml:space="preserve">достижимости состояний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дедлоков</w:t>
      </w:r>
    </w:p>
    <w:bookmarkEnd w:id="23"/>
    <w:bookmarkStart w:id="24" w:name="дидактическая-ценность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Дидактическая ценность</w:t>
      </w:r>
    </w:p>
    <w:p>
      <w:pPr>
        <w:pStyle w:val="FirstParagraph"/>
      </w:pPr>
      <w:r>
        <w:t xml:space="preserve">Модель иллюстрирует:</w:t>
      </w:r>
    </w:p>
    <w:p>
      <w:pPr>
        <w:numPr>
          <w:ilvl w:val="0"/>
          <w:numId w:val="1006"/>
        </w:numPr>
      </w:pPr>
      <w:r>
        <w:t xml:space="preserve">Принцип</w:t>
      </w:r>
      <w:r>
        <w:t xml:space="preserve"> </w:t>
      </w:r>
      <w:r>
        <w:rPr>
          <w:bCs/>
          <w:b/>
        </w:rPr>
        <w:t xml:space="preserve">конкурентного доступа</w:t>
      </w:r>
      <w:r>
        <w:t xml:space="preserve"> </w:t>
      </w:r>
      <w:r>
        <w:t xml:space="preserve">к ресурсам</w:t>
      </w:r>
    </w:p>
    <w:p>
      <w:pPr>
        <w:numPr>
          <w:ilvl w:val="0"/>
          <w:numId w:val="1006"/>
        </w:numPr>
      </w:pPr>
      <w:r>
        <w:t xml:space="preserve">Механизм</w:t>
      </w:r>
      <w:r>
        <w:t xml:space="preserve"> </w:t>
      </w:r>
      <w:r>
        <w:rPr>
          <w:bCs/>
          <w:b/>
        </w:rPr>
        <w:t xml:space="preserve">синхронизации процессов</w:t>
      </w:r>
    </w:p>
    <w:p>
      <w:pPr>
        <w:numPr>
          <w:ilvl w:val="0"/>
          <w:numId w:val="1006"/>
        </w:numPr>
      </w:pPr>
      <w:r>
        <w:t xml:space="preserve">Базовые концепции</w:t>
      </w:r>
      <w:r>
        <w:t xml:space="preserve"> </w:t>
      </w:r>
      <w:r>
        <w:rPr>
          <w:bCs/>
          <w:b/>
        </w:rPr>
        <w:t xml:space="preserve">распределенных систем</w:t>
      </w:r>
    </w:p>
    <w:p>
      <w:pPr>
        <w:numPr>
          <w:ilvl w:val="0"/>
          <w:numId w:val="1006"/>
        </w:numPr>
      </w:pPr>
      <w:r>
        <w:t xml:space="preserve">Методы</w:t>
      </w:r>
      <w:r>
        <w:t xml:space="preserve"> </w:t>
      </w:r>
      <w:r>
        <w:rPr>
          <w:bCs/>
          <w:b/>
        </w:rPr>
        <w:t xml:space="preserve">верификации</w:t>
      </w:r>
      <w:r>
        <w:t xml:space="preserve"> </w:t>
      </w:r>
      <w:r>
        <w:t xml:space="preserve">моделей</w:t>
      </w:r>
      <w:r>
        <w:t xml:space="preserve"> </w:t>
      </w:r>
      <w:r>
        <w:t xml:space="preserve">[4,5]</w:t>
      </w:r>
    </w:p>
    <w:bookmarkEnd w:id="24"/>
    <w:bookmarkEnd w:id="25"/>
    <w:bookmarkEnd w:id="26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7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7"/>
        </w:numPr>
        <w:pStyle w:val="Compact"/>
      </w:pPr>
      <w:r>
        <w:t xml:space="preserve">Вычислить пространство состояний, сформировать отчет о нем и построить граф</w:t>
      </w:r>
      <w:r>
        <w:t xml:space="preserve"> </w:t>
      </w:r>
      <w:r>
        <w:t xml:space="preserve">[6]</w:t>
      </w:r>
      <w:r>
        <w:t xml:space="preserve">.</w:t>
      </w:r>
    </w:p>
    <w:bookmarkEnd w:id="27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 сеть, добавляем позиции, переход и дуги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127834"/>
            <wp:effectExtent b="0" l="0" r="0" t="0"/>
            <wp:docPr descr="Figure 1: Граф сети модели «Накорми студентов»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Граф сети модели «Накорми студентов»</w:t>
      </w:r>
    </w:p>
    <w:bookmarkEnd w:id="0"/>
    <w:p>
      <w:pPr>
        <w:pStyle w:val="BodyText"/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</w:t>
      </w:r>
      <w:r>
        <w:t xml:space="preserve"> </w:t>
      </w:r>
      <w:r>
        <w:rPr>
          <w:rStyle w:val="VerbatimChar"/>
        </w:rPr>
        <w:t xml:space="preserve">Standart declarations</w:t>
      </w:r>
      <w:r>
        <w:t xml:space="preserve">, правой кнопкой вызываем контекстное меню и выбираем New Decl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5" w:name="fig:002"/>
      <w:r>
        <w:drawing>
          <wp:inline>
            <wp:extent cx="2175309" cy="2300437"/>
            <wp:effectExtent b="0" l="0" r="0" t="0"/>
            <wp:docPr descr="Figure 2: Декларации модели «Накорми студентов»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Декларации модели «Накорми студентов»</w:t>
      </w:r>
    </w:p>
    <w:bookmarkEnd w:id="0"/>
    <w:p>
      <w:pPr>
        <w:pStyle w:val="BodyText"/>
      </w:pPr>
      <w:r>
        <w:t xml:space="preserve">После этого задаем тип s фишкам, относящимся к студентам, тип p — фишкам, относящимся к пирогам (1 раз нажать клавишу</w:t>
      </w:r>
      <w:r>
        <w:t xml:space="preserve"> </w:t>
      </w:r>
      <w:r>
        <w:rPr>
          <w:rStyle w:val="VerbatimChar"/>
        </w:rPr>
        <w:t xml:space="preserve">Tab</w:t>
      </w:r>
      <w:r>
        <w:t xml:space="preserve">), задаём значения переменных x и y для дуг (нажимая на сами дуги)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 </w:t>
      </w:r>
      <w:r>
        <w:t xml:space="preserve">(2 раза нажать клавишу</w:t>
      </w:r>
      <w:r>
        <w:t xml:space="preserve"> </w:t>
      </w:r>
      <w:r>
        <w:rPr>
          <w:rStyle w:val="VerbatimChar"/>
        </w:rPr>
        <w:t xml:space="preserve">Tab</w:t>
      </w:r>
      <w:r>
        <w:t xml:space="preserve">). В результате получаем работающую модель, которая подсвечена зелёным цветом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3764657"/>
            <wp:effectExtent b="0" l="0" r="0" t="0"/>
            <wp:docPr descr="Figure 3: Модель «Накорми студентов»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Модель «Накорми студентов»</w:t>
      </w:r>
    </w:p>
    <w:bookmarkEnd w:id="0"/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«студенты». Изначально голодных студентов - 3 человека, есть 3 пирожка, каждый из них съедает по одному, в результате остается 2 пирожка, 0 голодных студентов и 3 сытых студента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4089400"/>
            <wp:effectExtent b="0" l="0" r="0" t="0"/>
            <wp:docPr descr="Figure 4: Запуск модели «Накорми студентов»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Запуск модели «Накорми студентов»</w:t>
      </w:r>
    </w:p>
    <w:bookmarkEnd w:id="0"/>
    <w:bookmarkStart w:id="48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8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8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8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8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8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8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FirstParagraph"/>
      </w:pPr>
      <w:r>
        <w:t xml:space="preserve">Ниже представлен листинг отчёта: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/home/openmodelica/nakormi.cpn</w:t>
      </w:r>
      <w:r>
        <w:br/>
      </w:r>
      <w:r>
        <w:rPr>
          <w:rStyle w:val="VerbatimChar"/>
        </w:rPr>
        <w:t xml:space="preserve">Report generated: Fri Apr  4 18:35:45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3120507"/>
            <wp:effectExtent b="0" l="0" r="0" t="0"/>
            <wp:docPr descr="Figure 5: Пространство состояний для модели «Накорми студентов»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5: Пространство состояний для модели «Накорми студентов»</w:t>
      </w:r>
    </w:p>
    <w:bookmarkEnd w:id="0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1" w:name="ref-olifer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Олифер В.Г., Олифер Н.А. Компьютерные сети: принципы, технологии, протоколы. 2-е изд. Минск: Библиотека БГУИР, 2010.</w:t>
      </w:r>
    </w:p>
    <w:bookmarkEnd w:id="51"/>
    <w:bookmarkStart w:id="52" w:name="ref-petri_neural_networ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неизвестен А. Синтез нейронной сети на основе сети Петри для формирования структуры // Вестник Астраханского государственного технического университета. 2023.</w:t>
      </w:r>
    </w:p>
    <w:bookmarkEnd w:id="52"/>
    <w:bookmarkStart w:id="53" w:name="ref-gost2018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ГОСТ Р 7.0.100–2018: Библиографическая запись. Библиографическое описание. Общие требования и правила составления. Москва: Стандартинформ, 2018.</w:t>
      </w:r>
    </w:p>
    <w:bookmarkEnd w:id="53"/>
    <w:bookmarkStart w:id="54" w:name="ref-cpntools_feature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Westergaard M. CPN Tools 4 Extensions: Advanced Communication and Debugging. 2013.</w:t>
      </w:r>
    </w:p>
    <w:bookmarkEnd w:id="54"/>
    <w:bookmarkStart w:id="55" w:name="ref-cpntools_modeling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Зайцев Д.А., Шмелева Т.Р. Моделирование телекоммуникационных систем в CPN Tools: учебное пособие. Министерство образования и науки Российской Федерации, 2015.</w:t>
      </w:r>
    </w:p>
    <w:bookmarkEnd w:id="55"/>
    <w:bookmarkStart w:id="56" w:name="ref-korolkova_lab_work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Королькова А.В., Кулябов Д.С. Руководство к лабораторной работе №9. Моделирование информационных процессов. Модель "Накорми студентов". 2025. С. 4.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Ибатулина Дарья Эдуардовна, НФИбд-01-22</dc:creator>
  <dc:language>ru-RU</dc:language>
  <cp:keywords/>
  <dcterms:created xsi:type="dcterms:W3CDTF">2025-04-05T14:00:48Z</dcterms:created>
  <dcterms:modified xsi:type="dcterms:W3CDTF">2025-04-05T14:00:48Z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«Накорми студентов»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