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81.png" ContentType="image/png"/>
  <Override PartName="/word/media/rId77.png" ContentType="image/png"/>
  <Override PartName="/word/media/rId85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системы массового обслуживания (СМО)</w:t>
      </w:r>
      <w:r>
        <w:t xml:space="preserve"> </w:t>
      </w:r>
      <w:r>
        <w:rPr>
          <w:bCs/>
          <w:b/>
        </w:rPr>
        <w:t xml:space="preserve">M|M|1</w:t>
      </w:r>
      <w:r>
        <w:t xml:space="preserve"> </w:t>
      </w:r>
      <w:r>
        <w:t xml:space="preserve">— одна из базовых моделей теории массового обслуживания, широко применяемая для анализа процессов обслуживания заявок в различных системах (телекоммуникации, вычислительные сети, производственные процессы и др.).</w:t>
      </w:r>
    </w:p>
    <w:p>
      <w:pPr>
        <w:pStyle w:val="BodyText"/>
      </w:pPr>
      <w:r>
        <w:t xml:space="preserve">Обозначение</w:t>
      </w:r>
      <w:r>
        <w:t xml:space="preserve"> </w:t>
      </w:r>
      <w:r>
        <w:rPr>
          <w:bCs/>
          <w:b/>
        </w:rPr>
        <w:t xml:space="preserve">M|M|1</w:t>
      </w:r>
      <w:r>
        <w:t xml:space="preserve"> </w:t>
      </w:r>
      <w:r>
        <w:t xml:space="preserve">расшифровывается следующим образом:</w:t>
      </w:r>
      <w:r>
        <w:t xml:space="preserve"> </w:t>
      </w:r>
      <w:r>
        <w:t xml:space="preserve">- Первая буква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(Markovian) означает, что время между поступлениями заявок в систему подчиняется экспоненциальному распределению (процесс поступления заявок — пуассоновский).</w:t>
      </w:r>
      <w:r>
        <w:t xml:space="preserve"> </w:t>
      </w:r>
      <w:r>
        <w:t xml:space="preserve">- Вторая буква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указывает, что время обслуживания каждой заявки также экспоненциально распределено.</w:t>
      </w:r>
      <w:r>
        <w:t xml:space="preserve"> </w:t>
      </w:r>
      <w:r>
        <w:t xml:space="preserve">- Цифра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означает, что в системе имеется один обслуживающий канал (один сервер)</w:t>
      </w:r>
      <w:r>
        <w:t xml:space="preserve"> </w:t>
      </w:r>
      <w:r>
        <w:t xml:space="preserve">[2,3]</w:t>
      </w:r>
      <w:r>
        <w:t xml:space="preserve">.</w:t>
      </w:r>
    </w:p>
    <w:bookmarkStart w:id="21" w:name="основные-характеристики-модели-mm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характеристики модели M|M|1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Интенсивность потока заявок</w:t>
      </w:r>
      <w:r>
        <w:t xml:space="preserve"> </w:t>
      </w:r>
      <w:r>
        <w:t xml:space="preserve">—</w:t>
      </w:r>
      <w:r>
        <w:t xml:space="preserve"> </w:t>
      </w:r>
      <m:oMath>
        <m:r>
          <m:t>λ</m:t>
        </m:r>
      </m:oMath>
      <w:r>
        <w:t xml:space="preserve">, среднее число заявок, поступающих в систему за единицу времени.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Интенсивность обслуживания</w:t>
      </w:r>
      <w:r>
        <w:t xml:space="preserve"> </w:t>
      </w:r>
      <w:r>
        <w:t xml:space="preserve">—</w:t>
      </w:r>
      <w:r>
        <w:t xml:space="preserve"> </w:t>
      </w:r>
      <m:oMath>
        <m:r>
          <m:t>μ</m:t>
        </m:r>
      </m:oMath>
      <w:r>
        <w:t xml:space="preserve">, среднее число заявок, которые может обслужить сервер за единицу времени.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Коэффициент загрузки сервера</w:t>
      </w:r>
      <w:r>
        <w:t xml:space="preserve"> </w:t>
      </w:r>
      <w:r>
        <w:t xml:space="preserve">—</w:t>
      </w:r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μ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, характеризует степень загруженности системы. Для устойчивой работы системы необходимо, чтобы выполнялось условие:</w:t>
      </w:r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.</m:t>
          </m:r>
        </m:oMath>
      </m:oMathPara>
    </w:p>
    <w:bookmarkEnd w:id="21"/>
    <w:bookmarkStart w:id="22" w:name="основные-параметры-систем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Основные параметры системы</w:t>
      </w:r>
    </w:p>
    <w:p>
      <w:pPr>
        <w:numPr>
          <w:ilvl w:val="0"/>
          <w:numId w:val="1003"/>
        </w:numPr>
        <w:pStyle w:val="Compact"/>
      </w:pPr>
      <w:r>
        <w:t xml:space="preserve">Среднее число заявок в системе: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</m:oMath>
      </m:oMathPara>
    </w:p>
    <w:p>
      <w:pPr>
        <w:numPr>
          <w:ilvl w:val="0"/>
          <w:numId w:val="1004"/>
        </w:numPr>
        <w:pStyle w:val="Compact"/>
      </w:pPr>
      <w:r>
        <w:t xml:space="preserve">Среднее время пребывания заявки в системе:</w:t>
      </w:r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  <m:r>
                <m:rPr>
                  <m:sty m:val="p"/>
                </m:rPr>
                <m:t>−</m:t>
              </m:r>
              <m:r>
                <m:t>λ</m:t>
              </m:r>
            </m:den>
          </m:f>
        </m:oMath>
      </m:oMathPara>
    </w:p>
    <w:p>
      <w:pPr>
        <w:numPr>
          <w:ilvl w:val="0"/>
          <w:numId w:val="1005"/>
        </w:numPr>
        <w:pStyle w:val="Compact"/>
      </w:pPr>
      <w:r>
        <w:t xml:space="preserve">Среднее число заявок в очереди: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w:r>
        <w:t xml:space="preserve">Среднее время ожидания в очереди: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μ</m:t>
              </m:r>
              <m:r>
                <m:rPr>
                  <m:sty m:val="p"/>
                </m:rPr>
                <m:t>−</m:t>
              </m:r>
              <m:r>
                <m:t>λ</m:t>
              </m:r>
            </m:den>
          </m:f>
        </m:oMath>
      </m:oMathPara>
    </w:p>
    <w:p>
      <w:pPr>
        <w:pStyle w:val="FirstParagraph"/>
      </w:pPr>
      <w:r>
        <w:t xml:space="preserve">Модель</w:t>
      </w:r>
      <w:r>
        <w:t xml:space="preserve"> </w:t>
      </w:r>
      <w:r>
        <w:rPr>
          <w:bCs/>
          <w:b/>
        </w:rPr>
        <w:t xml:space="preserve">M|M|1</w:t>
      </w:r>
      <w:r>
        <w:t xml:space="preserve"> </w:t>
      </w:r>
      <w:r>
        <w:t xml:space="preserve">является классической и служит основой для построения более сложных моделей систем массового обслуживания</w:t>
      </w:r>
      <w:r>
        <w:t xml:space="preserve"> </w:t>
      </w:r>
      <w:r>
        <w:t xml:space="preserve">[4–6]</w:t>
      </w:r>
      <w:r>
        <w:t xml:space="preserve">.</w:t>
      </w:r>
    </w:p>
    <w:bookmarkEnd w:id="22"/>
    <w:bookmarkEnd w:id="23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параллельно зададим декларации системы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на втором — генератор заявок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на третьем — сервер обработки заявок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— односторонняя связь.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711196"/>
            <wp:effectExtent b="0" l="0" r="0" t="0"/>
            <wp:docPr descr="Figure 1: Граф сети системы обработки заявок в очеред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Граф сети системы обработки заявок в очереди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3397717" cy="5111014"/>
            <wp:effectExtent b="0" l="0" r="0" t="0"/>
            <wp:docPr descr="Figure 2: Декларации систе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Декларации системы</w:t>
      </w:r>
    </w:p>
    <w:bookmarkEnd w:id="0"/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1648690"/>
            <wp:effectExtent b="0" l="0" r="0" t="0"/>
            <wp:docPr descr="Figure 3: Граф генератора заявок системы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Граф генератора заявок системы</w:t>
      </w:r>
    </w:p>
    <w:bookmarkEnd w:id="0"/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180946"/>
            <wp:effectExtent b="0" l="0" r="0" t="0"/>
            <wp:docPr descr="Figure 4: Граф процесса обработки заявок на сервере систе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Граф процесса обработки заявок на сервере системы</w:t>
      </w:r>
    </w:p>
    <w:bookmarkEnd w:id="0"/>
    <w:p>
      <w:pPr>
        <w:pStyle w:val="BodyText"/>
      </w:pPr>
      <w:r>
        <w:t xml:space="preserve">Зададим декларации системы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7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7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7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7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7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7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9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9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9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FirstParagraph"/>
      </w:pPr>
      <w:r>
        <w:t xml:space="preserve">Задание деклараций приведено выше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p>
      <w:pPr>
        <w:numPr>
          <w:ilvl w:val="0"/>
          <w:numId w:val="1010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10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FirstParagraph"/>
      </w:pPr>
      <w:r>
        <w:t xml:space="preserve">На листе Arrivals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numPr>
          <w:ilvl w:val="0"/>
          <w:numId w:val="1011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11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11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11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11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11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11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FirstParagraph"/>
      </w:pPr>
      <w:r>
        <w:t xml:space="preserve">На листе Server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numPr>
          <w:ilvl w:val="0"/>
          <w:numId w:val="1012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маркировки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определяет, что изначально на сервере нет заявок на обслуживание;</w:t>
      </w:r>
    </w:p>
    <w:p>
      <w:pPr>
        <w:numPr>
          <w:ilvl w:val="0"/>
          <w:numId w:val="1012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12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12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12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12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12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12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52" w:name="запуск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Запуск модели</w:t>
      </w:r>
    </w:p>
    <w:p>
      <w:pPr>
        <w:pStyle w:val="FirstParagraph"/>
      </w:pPr>
      <w:r>
        <w:t xml:space="preserve">Запускаем модель, добавляя, как сказано в руководстве, по 30 секунд после нажатия кнопки запуска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350349"/>
            <wp:effectExtent b="0" l="0" r="0" t="0"/>
            <wp:docPr descr="Figure 5: Граф сети системы обработки заявок в очеред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Граф сети системы обработки заявок в очереди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369665"/>
            <wp:effectExtent b="0" l="0" r="0" t="0"/>
            <wp:docPr descr="Figure 6: Граф генератора заявок систе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Граф генератора заявок системы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417600"/>
            <wp:effectExtent b="0" l="0" r="0" t="0"/>
            <wp:docPr descr="Figure 7: Граф процесса обработки заявок на сервере систем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Граф процесса обработки заявок на сервере системы</w:t>
      </w:r>
    </w:p>
    <w:bookmarkEnd w:id="0"/>
    <w:bookmarkEnd w:id="52"/>
    <w:bookmarkStart w:id="93" w:name="X064ddc7dd2d7c16b1ffbb5b3d20df092cd9b7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</w:t>
      </w:r>
      <w:r>
        <w:t xml:space="preserve"> </w:t>
      </w:r>
      <w:r>
        <w:rPr>
          <w:iCs/>
          <w:i/>
        </w:rPr>
        <w:t xml:space="preserve">Queue_Delay.count()=200</w:t>
      </w:r>
      <w:r>
        <w:t xml:space="preserve">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4841507" cy="1934677"/>
            <wp:effectExtent b="0" l="0" r="0" t="0"/>
            <wp:docPr descr="Figure 8: Функция Predicate монитора Ostanovka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Функция Predicate монитора Ostanovka</w:t>
      </w:r>
    </w:p>
    <w:bookmarkEnd w:id="0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4138863" cy="1780673"/>
            <wp:effectExtent b="0" l="0" r="0" t="0"/>
            <wp:docPr descr="Figure 9: Функция Observer монитора Queue Delay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Функция Observer монитора Queue Delay</w:t>
      </w:r>
    </w:p>
    <w:bookmarkEnd w:id="0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содержащий в первой колонке — значение задержки очереди, во второй — счётчик, в третьей — шаг, в четвёртой — время.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122740"/>
            <wp:effectExtent b="0" l="0" r="0" t="0"/>
            <wp:docPr descr="Figure 10: Файл Queue_Delay.log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Файл Queue_Delay.log</w:t>
      </w:r>
    </w:p>
    <w:bookmarkEnd w:id="0"/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выбрав по оси x время, а по оси y — значения задержки: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421376"/>
            <wp:effectExtent b="0" l="0" r="0" t="0"/>
            <wp:docPr descr="Figure 11: График изменения задержки в очереди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График изменения задержки в очереди</w:t>
      </w:r>
    </w:p>
    <w:bookmarkEnd w:id="0"/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4379494" cy="1905802"/>
            <wp:effectExtent b="0" l="0" r="0" t="0"/>
            <wp:docPr descr="Figure 12: Функция Observer монитора Queue Delay Real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Функция Observer монитора Queue Delay Real</w:t>
      </w:r>
    </w:p>
    <w:bookmarkEnd w:id="0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2144762"/>
            <wp:effectExtent b="0" l="0" r="0" t="0"/>
            <wp:docPr descr="Figure 13: Содержимое Queue_Delay_Real.log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Содержимое Queue_Delay_Real.log</w:t>
      </w:r>
    </w:p>
    <w:bookmarkEnd w:id="0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]):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034012" cy="1270534"/>
            <wp:effectExtent b="0" l="0" r="0" t="0"/>
            <wp:docPr descr="Figure 14: Функция Observer монитора Long Delay Time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Функция Observer монитора Long Delay Time</w:t>
      </w:r>
    </w:p>
    <w:bookmarkEnd w:id="0"/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987047"/>
            <wp:effectExtent b="0" l="0" r="0" t="0"/>
            <wp:docPr descr="Figure 15: Определение longdelaytime в декларациях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Определение longdelaytime в декларациях</w:t>
      </w:r>
    </w:p>
    <w:bookmarkEnd w:id="0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178789"/>
            <wp:effectExtent b="0" l="0" r="0" t="0"/>
            <wp:docPr descr="Figure 16: Содержимое Long_Delay_Time.log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Содержимое Long_Delay_Time.log</w:t>
      </w:r>
    </w:p>
    <w:bookmarkEnd w:id="0"/>
    <w:p>
      <w:pPr>
        <w:pStyle w:val="BodyText"/>
      </w:pPr>
      <w:r>
        <w:t xml:space="preserve">С помощью gnuplot можно построить график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демонстрирующий, в какие периоды времени значения задержки в очереди превышали заданное значение 200.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5009971"/>
            <wp:effectExtent b="0" l="0" r="0" t="0"/>
            <wp:docPr descr="Figure 17: Периоды времени, когда значения задержки в очереди превышали заданное значение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Периоды времени, когда значения задержки в очереди превышали заданное значение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5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Start w:id="96" w:name="ref-korolkova_lab_wor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Руководство к лабораторной работе №11.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. 2025. С. 10.</w:t>
      </w:r>
    </w:p>
    <w:bookmarkEnd w:id="96"/>
    <w:bookmarkStart w:id="97" w:name="ref-Kuznetsov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Кузнецов В.В. Системы массового обслуживания. Юрайт, 2021.</w:t>
      </w:r>
    </w:p>
    <w:bookmarkEnd w:id="97"/>
    <w:bookmarkStart w:id="98" w:name="ref-Cherusheva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Черушева Т.В., Зверовщикова Н.В. Теория массового обслуживания. Пенза: Изд-во ПГУ, 2021.</w:t>
      </w:r>
    </w:p>
    <w:bookmarkEnd w:id="98"/>
    <w:bookmarkStart w:id="99" w:name="ref-Pleskunov202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Плескунов М.А. Теория массового обслуживания. Уральский федеральный университет, 2022.</w:t>
      </w:r>
    </w:p>
    <w:bookmarkEnd w:id="99"/>
    <w:bookmarkStart w:id="100" w:name="ref-Romanenko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Романенко В.А. Системы и сети массового обслуживания. Самара: Издательство Самарского университета, 2021. С. 68.</w:t>
      </w:r>
    </w:p>
    <w:bookmarkEnd w:id="100"/>
    <w:bookmarkStart w:id="101" w:name="ref-Belyi2014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Белый Е.К. Введение в теорию массового обслуживания. 2014.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системы массового обслуживания M|M|1</dc:title>
  <dc:creator>Ибатулина Дарья Эдуардовна</dc:creator>
  <dc:language>ru-RU</dc:language>
  <cp:keywords/>
  <dcterms:created xsi:type="dcterms:W3CDTF">2025-04-18T11:26:11Z</dcterms:created>
  <dcterms:modified xsi:type="dcterms:W3CDTF">2025-04-18T11:26:11Z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