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bookmarkStart w:id="20" w:name="цель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и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Протоколы передачи данных - это наборы правил, определяющих порядок и способы обмена информацией между участниками вычислительных или телекоммуникационных систем. Они регулируют формат сообщений, последовательность их передачи, временные интервалы, а также методы обнаружения и исправления ошибок. В современной практике протоколы используются на всех уровнях модели OSI, начиная с физического и заканчивая прикладным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Реальные протоколы передачи данных часто имеют сложную структуру, что затрудняет их анализ и отладку. Для исследования их свойств и выявления возможных ошибок широко применяется моделирование, в частности, с помощью сетей Петри и их расширений - раскрашенных сетей Петри (Coloured Petri Nets, CPN). Этот подход позволяет наглядно представить процессы передачи и подтверждения данных, а также учесть такие важные аспекты, как потеря пакетов и подтверждений, задержки и порядок доставки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данной лабораторной работе рассматривается простейший протокол передачи данных в ненадёжной сети. Передача осуществляется по следующему принципу: отправитель разбивает исходное сообщение на части (пакеты) и отправляет их получателю, ожидая подтверждения (ACK) о доставке каждого пакета перед отправкой следующего. Если подтверждение не получено (например, из-за потери пакета или ACK), пакет передаётся повторно. Такой механизм обеспечивает надёжность передачи даже в условиях, когда сеть может терять отдельные сообщения.</w:t>
      </w:r>
    </w:p>
    <w:p>
      <w:pPr>
        <w:pStyle w:val="BodyText"/>
      </w:pPr>
      <w:r>
        <w:t xml:space="preserve">Модель протокола строится в среде CPN Tools с использованием раскрашенных сетей Петри, что позволяет формально описать все возможные состояния системы и переходы между ними, а также смоделировать случайные потери пакетов и подтверждений. Анализ полученной модели даёт возможность оценить корректность работы протокола, выявить возможные тупиковые состояния и оптимизировать алгоритмы передачи данных</w:t>
      </w:r>
      <w:r>
        <w:t xml:space="preserve"> </w:t>
      </w:r>
      <w:r>
        <w:t xml:space="preserve">[4]</w:t>
      </w:r>
      <w:r>
        <w:t xml:space="preserve">.</w:t>
      </w:r>
    </w:p>
    <w:bookmarkEnd w:id="21"/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3"/>
    <w:bookmarkStart w:id="28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 T1 или T2; B1 — переходов T2 или T6; B2 — переходов T4 или T6.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832721"/>
            <wp:effectExtent b="0" l="0" r="0" t="0"/>
            <wp:docPr descr="Figure 1: Сеть для выполнения домашнего задан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Сеть для выполнения домашнего задания</w:t>
      </w:r>
    </w:p>
    <w:bookmarkEnd w:id="0"/>
    <w:bookmarkEnd w:id="28"/>
    <w:bookmarkStart w:id="33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4425922"/>
            <wp:effectExtent b="0" l="0" r="0" t="0"/>
            <wp:docPr descr="Figure 2: Дерево достижимост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Дерево достижимости</w:t>
      </w:r>
    </w:p>
    <w:bookmarkEnd w:id="0"/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 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 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33"/>
    <w:bookmarkStart w:id="46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334000" cy="3713382"/>
            <wp:effectExtent b="0" l="0" r="0" t="0"/>
            <wp:docPr descr="Figure 3: Модель задачи в CPN Tool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Модель задачи в CPN Tools</w:t>
      </w:r>
    </w:p>
    <w:bookmarkEnd w:id="0"/>
    <w:p>
      <w:pPr>
        <w:pStyle w:val="BodyText"/>
      </w:pPr>
      <w:r>
        <w:t xml:space="preserve">Также зададим нужные декларации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2541069" cy="3753852"/>
            <wp:effectExtent b="0" l="0" r="0" t="0"/>
            <wp:docPr descr="Figure 4: Задание деклараций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Задание деклараций</w:t>
      </w:r>
    </w:p>
    <w:bookmarkEnd w:id="0"/>
    <w:p>
      <w:pPr>
        <w:pStyle w:val="BodyText"/>
      </w:pPr>
      <w:r>
        <w:t xml:space="preserve">Запустив модель, можно посмотреть, как она работает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3611296"/>
            <wp:effectExtent b="0" l="0" r="0" t="0"/>
            <wp:docPr descr="Figure 5: Запуск модели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Запуск модели</w:t>
      </w:r>
    </w:p>
    <w:bookmarkEnd w:id="0"/>
    <w:bookmarkEnd w:id="46"/>
    <w:bookmarkStart w:id="51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3529358"/>
            <wp:effectExtent b="0" l="0" r="0" t="0"/>
            <wp:docPr descr="Figure 6: Граф пространства состояний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Граф пространства состояний</w:t>
      </w:r>
    </w:p>
    <w:bookmarkEnd w:id="0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/home/openmodelica/lab13.cpn</w:t>
      </w:r>
      <w:r>
        <w:br/>
      </w:r>
      <w:r>
        <w:rPr>
          <w:rStyle w:val="VerbatimChar"/>
        </w:rPr>
        <w:t xml:space="preserve">Report generated: Mon Apr 28 02:01:37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1`mems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1`mems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3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4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Моделирование информационных процессов: Лабораторная работа №12. РУДН, 2025.</w:t>
      </w:r>
    </w:p>
    <w:bookmarkEnd w:id="54"/>
    <w:bookmarkStart w:id="56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Jensen K., Kristensen L.M., Wells L.</w:t>
      </w:r>
      <w:r>
        <w:t xml:space="preserve"> </w:t>
      </w:r>
      <w:hyperlink r:id="rId55">
        <w:r>
          <w:rPr>
            <w:rStyle w:val="Hyperlink"/>
          </w:rPr>
          <w:t xml:space="preserve">Coloured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Petri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CPN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 for Modelling and Validation of Concurrent Systems</w:t>
        </w:r>
      </w:hyperlink>
      <w:r>
        <w:t xml:space="preserve"> </w:t>
      </w:r>
      <w:r>
        <w:t xml:space="preserve">// International Journal on Software Tools for Technology Transfer. 2007. Т. 9. С. 213–254.</w:t>
      </w:r>
    </w:p>
    <w:bookmarkEnd w:id="56"/>
    <w:bookmarkStart w:id="58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CPN Tools</w:t>
      </w:r>
      <w:r>
        <w:t xml:space="preserve"> </w:t>
      </w:r>
      <w:r>
        <w:t xml:space="preserve">–</w:t>
      </w:r>
      <w:r>
        <w:t xml:space="preserve"> </w:t>
      </w:r>
      <w:r>
        <w:t xml:space="preserve">A</w:t>
      </w:r>
      <w:r>
        <w:t xml:space="preserve"> </w:t>
      </w:r>
      <w:r>
        <w:t xml:space="preserve">tool for editing, simulating, and analyzing</w:t>
      </w:r>
      <w:r>
        <w:t xml:space="preserve"> </w:t>
      </w:r>
      <w:r>
        <w:t xml:space="preserve">Colored</w:t>
      </w:r>
      <w:r>
        <w:t xml:space="preserve"> </w:t>
      </w:r>
      <w:r>
        <w:t xml:space="preserve">Petri</w:t>
      </w:r>
      <w:r>
        <w:t xml:space="preserve"> </w:t>
      </w:r>
      <w:r>
        <w:t xml:space="preserve">nets [Электронный ресурс]. 2023. URL:</w:t>
      </w:r>
      <w:r>
        <w:t xml:space="preserve"> </w:t>
      </w:r>
      <w:hyperlink r:id="rId57">
        <w:r>
          <w:rPr>
            <w:rStyle w:val="Hyperlink"/>
          </w:rPr>
          <w:t xml:space="preserve">https://cpntools.org</w:t>
        </w:r>
      </w:hyperlink>
      <w:r>
        <w:t xml:space="preserve"> </w:t>
      </w:r>
      <w:r>
        <w:t xml:space="preserve">(дата обращения: 28.04.2025).</w:t>
      </w:r>
    </w:p>
    <w:bookmarkEnd w:id="58"/>
    <w:bookmarkStart w:id="59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Дворянский Л.В., Ломазова И.А. Имитационное моделирование и верификация вложенных сетей</w:t>
      </w:r>
      <w:r>
        <w:t xml:space="preserve"> </w:t>
      </w:r>
      <w:r>
        <w:t xml:space="preserve">Петри</w:t>
      </w:r>
      <w:r>
        <w:t xml:space="preserve"> </w:t>
      </w:r>
      <w:r>
        <w:t xml:space="preserve">с использованием</w:t>
      </w:r>
      <w:r>
        <w:t xml:space="preserve"> </w:t>
      </w:r>
      <w:r>
        <w:t xml:space="preserve">CPN Tools</w:t>
      </w:r>
      <w:r>
        <w:t xml:space="preserve"> </w:t>
      </w:r>
      <w:r>
        <w:t xml:space="preserve">// Труды НИУ ВШЭ. Издательский дом ВШЭ, 2012. С. 1–15.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57" Target="https://cpntools.org" TargetMode="External" /><Relationship Type="http://schemas.openxmlformats.org/officeDocument/2006/relationships/hyperlink" Id="rId55" Target="https://doi.org/10.1007/s10009-007-0038-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pntools.org" TargetMode="External" /><Relationship Type="http://schemas.openxmlformats.org/officeDocument/2006/relationships/hyperlink" Id="rId55" Target="https://doi.org/10.1007/s10009-007-0038-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для самостоятельного выполнения</dc:title>
  <dc:creator>Ибатулина Дарья Эдуардовна</dc:creator>
  <dc:language>ru-RU</dc:language>
  <cp:keywords/>
  <dcterms:created xsi:type="dcterms:W3CDTF">2025-04-28T20:35:20Z</dcterms:created>
  <dcterms:modified xsi:type="dcterms:W3CDTF">2025-04-28T20:35:20Z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