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Sub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№15</w:t>
      </w:r>
    </w:p>
    <w:p>
      <w:pPr>
        <w:pStyle w:val="Author"/>
      </w:pPr>
      <w:r>
        <w:t xml:space="preserve">Ибатулина</w:t>
      </w:r>
      <w:r>
        <w:t xml:space="preserve"> </w:t>
      </w:r>
      <w:r>
        <w:t xml:space="preserve">Дарья</w:t>
      </w:r>
      <w:r>
        <w:t xml:space="preserve"> </w:t>
      </w:r>
      <w:r>
        <w:t xml:space="preserve">Эдуардовна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r>
        <w:t xml:space="preserve"> </w:t>
      </w:r>
      <w:r>
        <w:t xml:space="preserve">[1]</w:t>
      </w:r>
      <w:r>
        <w:t xml:space="preserve">.</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numPr>
          <w:ilvl w:val="0"/>
          <w:numId w:val="1001"/>
        </w:numPr>
        <w:pStyle w:val="Compact"/>
      </w:pPr>
      <w:r>
        <w:t xml:space="preserve">Модель обслуживания механиков на складе</w:t>
      </w:r>
    </w:p>
    <w:p>
      <w:pPr>
        <w:numPr>
          <w:ilvl w:val="0"/>
          <w:numId w:val="1001"/>
        </w:numPr>
        <w:pStyle w:val="Compact"/>
      </w:pPr>
      <w:r>
        <w:t xml:space="preserve">Модель обслуживания в порту судов двух типов</w:t>
      </w:r>
      <w:r>
        <w:t xml:space="preserve"> </w:t>
      </w:r>
      <w:r>
        <w:t xml:space="preserve">[1]</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массового обслуживания (СМО) с приоритетами представляют собой важный класс моделей, где порядок обработки заявок определяется их приоритетными классами. В</w:t>
      </w:r>
      <w:r>
        <w:t xml:space="preserve"> </w:t>
      </w:r>
      <w:r>
        <w:rPr>
          <w:rStyle w:val="VerbatimChar"/>
        </w:rPr>
        <w:t xml:space="preserve">GPSS World</w:t>
      </w:r>
      <w:r>
        <w:t xml:space="preserve"> </w:t>
      </w:r>
      <w:r>
        <w:t xml:space="preserve">реализация таких систем требует понимания специфики работы с приоритетами и особенностей имитационного моделирования.</w:t>
      </w:r>
    </w:p>
    <w:p>
      <w:pPr>
        <w:pStyle w:val="BodyText"/>
      </w:pPr>
      <w:r>
        <w:rPr>
          <w:bCs/>
          <w:b/>
        </w:rPr>
        <w:t xml:space="preserve">Основные типы приоритетов</w:t>
      </w:r>
    </w:p>
    <w:p>
      <w:pPr>
        <w:numPr>
          <w:ilvl w:val="0"/>
          <w:numId w:val="1002"/>
        </w:numPr>
        <w:pStyle w:val="Compact"/>
      </w:pPr>
      <w:r>
        <w:t xml:space="preserve">Относительные приоритеты</w:t>
      </w:r>
    </w:p>
    <w:p>
      <w:pPr>
        <w:pStyle w:val="FirstParagraph"/>
      </w:pPr>
      <w:r>
        <w:t xml:space="preserve">Заявки обслуживаются без прерывания текущего процесса, даже если поступают требования с более высоким приоритетом. Очередь формируется по принципу</w:t>
      </w:r>
      <w:r>
        <w:t xml:space="preserve"> </w:t>
      </w:r>
      <w:r>
        <w:rPr>
          <w:rStyle w:val="VerbatimChar"/>
        </w:rPr>
        <w:t xml:space="preserve">FIFO</w:t>
      </w:r>
      <w:r>
        <w:t xml:space="preserve"> </w:t>
      </w:r>
      <w:r>
        <w:t xml:space="preserve">в рамках каждого приоритетного класса.</w:t>
      </w:r>
    </w:p>
    <w:p>
      <w:pPr>
        <w:numPr>
          <w:ilvl w:val="0"/>
          <w:numId w:val="1003"/>
        </w:numPr>
        <w:pStyle w:val="Compact"/>
      </w:pPr>
      <w:r>
        <w:t xml:space="preserve">Абсолютные приоритеты</w:t>
      </w:r>
    </w:p>
    <w:p>
      <w:pPr>
        <w:pStyle w:val="FirstParagraph"/>
      </w:pPr>
      <w:r>
        <w:t xml:space="preserve">Обслуживание текущей заявки прерывается при поступлении требования с высшим приоритетом. Прерванная заявка возвращается в очередь и дообслуживается только после обработки всех высокоприоритетных требований. Этот тип используется в системах реального времени и компьютерных прерываниях.</w:t>
      </w:r>
    </w:p>
    <w:p>
      <w:pPr>
        <w:pStyle w:val="BodyText"/>
      </w:pPr>
      <w:r>
        <w:rPr>
          <w:bCs/>
          <w:b/>
        </w:rPr>
        <w:t xml:space="preserve">Реализация в GPSS</w:t>
      </w:r>
    </w:p>
    <w:p>
      <w:pPr>
        <w:pStyle w:val="BodyText"/>
      </w:pPr>
      <w:r>
        <w:t xml:space="preserve">Приоритет транзактов задаётся через параметр E (пятый параметр) в блоке GENERATE или оператором PRIORITY. По умолчанию используется нулевой приоритет.</w:t>
      </w:r>
    </w:p>
    <w:p>
      <w:pPr>
        <w:pStyle w:val="BodyText"/>
      </w:pPr>
      <w:r>
        <w:t xml:space="preserve">Для абсолютных приоритетов применяется блок PREEMPT, однако его использование может приводить к расхождениям с аналитическими расчётами из-за особенностей обработки прерванных транзактов.</w:t>
      </w:r>
    </w:p>
    <w:p>
      <w:pPr>
        <w:pStyle w:val="BodyText"/>
      </w:pPr>
      <w:r>
        <w:t xml:space="preserve">Относительные приоритеты реализуются через стандартные механизмы формирования очередей с учётом параметра PRIORITY транзакта.</w:t>
      </w:r>
    </w:p>
    <w:p>
      <w:pPr>
        <w:pStyle w:val="BodyText"/>
      </w:pPr>
      <w:r>
        <w:t xml:space="preserve">Ключевые особенности моделирования</w:t>
      </w:r>
      <w:r>
        <w:t xml:space="preserve"> </w:t>
      </w:r>
      <w:r>
        <w:t xml:space="preserve">Стандартные средства GPSS требуют дополнительной настройки для корректного воспроизведения традиционной дисциплины с абсолютными приоритетами.</w:t>
      </w:r>
    </w:p>
    <w:p>
      <w:pPr>
        <w:pStyle w:val="BodyText"/>
      </w:pPr>
      <w:r>
        <w:rPr>
          <w:iCs/>
          <w:i/>
        </w:rPr>
        <w:t xml:space="preserve">Приоритетные СМО в GPSS позволяют анализировать:</w:t>
      </w:r>
    </w:p>
    <w:p>
      <w:pPr>
        <w:numPr>
          <w:ilvl w:val="0"/>
          <w:numId w:val="1004"/>
        </w:numPr>
      </w:pPr>
      <w:r>
        <w:t xml:space="preserve">Среднее время ожидания для разных классов заявок</w:t>
      </w:r>
    </w:p>
    <w:p>
      <w:pPr>
        <w:numPr>
          <w:ilvl w:val="0"/>
          <w:numId w:val="1004"/>
        </w:numPr>
      </w:pPr>
      <w:r>
        <w:t xml:space="preserve">Загрузку каналов обслуживания</w:t>
      </w:r>
    </w:p>
    <w:p>
      <w:pPr>
        <w:numPr>
          <w:ilvl w:val="0"/>
          <w:numId w:val="1004"/>
        </w:numPr>
      </w:pPr>
      <w:r>
        <w:t xml:space="preserve">Эффективность распределения ресурсов.</w:t>
      </w:r>
    </w:p>
    <w:p>
      <w:pPr>
        <w:pStyle w:val="FirstParagraph"/>
      </w:pPr>
      <w:r>
        <w:t xml:space="preserve">Пример фрагмента модели:</w:t>
      </w:r>
    </w:p>
    <w:p>
      <w:pPr>
        <w:pStyle w:val="SourceCode"/>
      </w:pPr>
      <w:r>
        <w:rPr>
          <w:rStyle w:val="VerbatimChar"/>
        </w:rPr>
        <w:t xml:space="preserve">GENERATE 10,,,1    ; Заявки 1 класса с приоритетом 1</w:t>
      </w:r>
      <w:r>
        <w:br/>
      </w:r>
      <w:r>
        <w:rPr>
          <w:rStyle w:val="VerbatimChar"/>
        </w:rPr>
        <w:t xml:space="preserve">QUEUE Ochered</w:t>
      </w:r>
      <w:r>
        <w:br/>
      </w:r>
      <w:r>
        <w:rPr>
          <w:rStyle w:val="VerbatimChar"/>
        </w:rPr>
        <w:t xml:space="preserve">SEIZE Kanal</w:t>
      </w:r>
      <w:r>
        <w:br/>
      </w:r>
      <w:r>
        <w:rPr>
          <w:rStyle w:val="VerbatimChar"/>
        </w:rPr>
        <w:t xml:space="preserve">DEPART Ochered</w:t>
      </w:r>
      <w:r>
        <w:br/>
      </w:r>
      <w:r>
        <w:rPr>
          <w:rStyle w:val="VerbatimChar"/>
        </w:rPr>
        <w:t xml:space="preserve">ADVANCE 8</w:t>
      </w:r>
      <w:r>
        <w:br/>
      </w:r>
      <w:r>
        <w:rPr>
          <w:rStyle w:val="VerbatimChar"/>
        </w:rPr>
        <w:t xml:space="preserve">RELEASE Kanal</w:t>
      </w:r>
      <w:r>
        <w:br/>
      </w:r>
      <w:r>
        <w:rPr>
          <w:rStyle w:val="VerbatimChar"/>
        </w:rPr>
        <w:t xml:space="preserve">TERMINATE</w:t>
      </w:r>
    </w:p>
    <w:p>
      <w:pPr>
        <w:pStyle w:val="FirstParagraph"/>
      </w:pPr>
      <w:r>
        <w:t xml:space="preserve">Для абсолютных приоритетов требуется использование дополнительных блоков управления прерываниями и механизмов повторного обслуживания. Это создаёт сложности при согласовании результатов моделирования с теоретическими расчётами, что следует учитывать при анализе данных</w:t>
      </w:r>
      <w:r>
        <w:t xml:space="preserve"> </w:t>
      </w:r>
      <w:r>
        <w:t xml:space="preserve">[2–4]</w:t>
      </w:r>
      <w:r>
        <w:t xml:space="preserve">.</w:t>
      </w:r>
    </w:p>
    <w:bookmarkEnd w:id="22"/>
    <w:bookmarkStart w:id="45"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1" w:name="модель-обслуживания-механиков-на-складе"/>
    <w:p>
      <w:pPr>
        <w:pStyle w:val="Heading2"/>
      </w:pPr>
      <w:r>
        <w:rPr>
          <w:rStyle w:val="SectionNumber"/>
        </w:rPr>
        <w:t xml:space="preserve">4.1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 Запросы бывают двух категорий. Для первой 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 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 для этих типов заявок. Приоритеты запросов задаются путем использования для 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 запросов первой категории.</w:t>
      </w:r>
    </w:p>
    <w:p>
      <w:pPr>
        <w:pStyle w:val="BodyText"/>
      </w:pPr>
      <w:r>
        <w:t xml:space="preserve">Таким образом, имеем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2002054" cy="3416968"/>
            <wp:effectExtent b="0" l="0" r="0" t="0"/>
            <wp:docPr descr="Figure 1: Модель обслуживания механиков с приоритетами"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2002054" cy="3416968"/>
                    </a:xfrm>
                    <a:prstGeom prst="rect">
                      <a:avLst/>
                    </a:prstGeom>
                    <a:noFill/>
                    <a:ln w="9525">
                      <a:noFill/>
                      <a:headEnd/>
                      <a:tailEnd/>
                    </a:ln>
                  </pic:spPr>
                </pic:pic>
              </a:graphicData>
            </a:graphic>
          </wp:inline>
        </w:drawing>
      </w:r>
      <w:bookmarkEnd w:id="26"/>
    </w:p>
    <w:p>
      <w:pPr>
        <w:pStyle w:val="ImageCaption"/>
      </w:pPr>
      <w:r>
        <w:t xml:space="preserve">Figure 1: Модель обслуживания механиков с приоритетами</w:t>
      </w:r>
    </w:p>
    <w:bookmarkEnd w:id="0"/>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6627090"/>
            <wp:effectExtent b="0" l="0" r="0" t="0"/>
            <wp:docPr descr="Figure 2: Отчёт по модели обслуживания механиков с приоритетами"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6627090"/>
                    </a:xfrm>
                    <a:prstGeom prst="rect">
                      <a:avLst/>
                    </a:prstGeom>
                    <a:noFill/>
                    <a:ln w="9525">
                      <a:noFill/>
                      <a:headEnd/>
                      <a:tailEnd/>
                    </a:ln>
                  </pic:spPr>
                </pic:pic>
              </a:graphicData>
            </a:graphic>
          </wp:inline>
        </w:drawing>
      </w:r>
      <w:bookmarkEnd w:id="30"/>
    </w:p>
    <w:p>
      <w:pPr>
        <w:pStyle w:val="ImageCaption"/>
      </w:pPr>
      <w:r>
        <w:t xml:space="preserve">Figure 2: Отчёт по модели обслуживания механиков с приоритетами</w:t>
      </w:r>
    </w:p>
    <w:bookmarkEnd w:id="0"/>
    <w:p>
      <w:pPr>
        <w:pStyle w:val="BodyText"/>
      </w:pPr>
      <w:r>
        <w:t xml:space="preserve">Результаты работы модели:</w:t>
      </w:r>
    </w:p>
    <w:p>
      <w:pPr>
        <w:numPr>
          <w:ilvl w:val="0"/>
          <w:numId w:val="1005"/>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5"/>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numPr>
          <w:ilvl w:val="0"/>
          <w:numId w:val="1005"/>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numPr>
          <w:ilvl w:val="0"/>
          <w:numId w:val="1005"/>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numPr>
          <w:ilvl w:val="0"/>
          <w:numId w:val="1005"/>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6"/>
        </w:numPr>
      </w:pPr>
      <w:r>
        <w:rPr>
          <w:rStyle w:val="VerbatimChar"/>
        </w:rPr>
        <w:t xml:space="preserve">QUEUE</w:t>
      </w:r>
      <w:r>
        <w:t xml:space="preserve">=QS1 – имя объекта типа «очередь» для первого типа заявок;</w:t>
      </w:r>
    </w:p>
    <w:p>
      <w:pPr>
        <w:numPr>
          <w:ilvl w:val="0"/>
          <w:numId w:val="1006"/>
        </w:numPr>
      </w:pPr>
      <w:r>
        <w:rPr>
          <w:rStyle w:val="VerbatimChar"/>
        </w:rPr>
        <w:t xml:space="preserve">MAX</w:t>
      </w:r>
      <w:r>
        <w:t xml:space="preserve">=8 – максимальное число ожидающих заявок от клиента в очереди;</w:t>
      </w:r>
    </w:p>
    <w:p>
      <w:pPr>
        <w:numPr>
          <w:ilvl w:val="0"/>
          <w:numId w:val="1006"/>
        </w:numPr>
      </w:pPr>
      <w:r>
        <w:rPr>
          <w:rStyle w:val="VerbatimChar"/>
        </w:rPr>
        <w:t xml:space="preserve">CONT</w:t>
      </w:r>
      <w:r>
        <w:t xml:space="preserve">=6 – количество заявок в очереди на момент завершения моделирования;</w:t>
      </w:r>
    </w:p>
    <w:p>
      <w:pPr>
        <w:numPr>
          <w:ilvl w:val="0"/>
          <w:numId w:val="1006"/>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=2,177 заявок от клиентов в среднем были в очереди;</w:t>
      </w:r>
    </w:p>
    <w:p>
      <w:pPr>
        <w:numPr>
          <w:ilvl w:val="0"/>
          <w:numId w:val="1006"/>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=QS2 – имя объекта типа «очередь» для второго типа заявок;</w:t>
      </w:r>
    </w:p>
    <w:p>
      <w:pPr>
        <w:numPr>
          <w:ilvl w:val="0"/>
          <w:numId w:val="1006"/>
        </w:numPr>
      </w:pPr>
      <w:r>
        <w:rPr>
          <w:rStyle w:val="VerbatimChar"/>
        </w:rPr>
        <w:t xml:space="preserve">MAX</w:t>
      </w:r>
      <w:r>
        <w:t xml:space="preserve">=3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=0,439 заявок от клиентов в среднем были в очереди;</w:t>
      </w:r>
    </w:p>
    <w:p>
      <w:pPr>
        <w:numPr>
          <w:ilvl w:val="0"/>
          <w:numId w:val="1006"/>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numPr>
          <w:ilvl w:val="0"/>
          <w:numId w:val="1007"/>
        </w:numPr>
        <w:pStyle w:val="Compact"/>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numPr>
          <w:ilvl w:val="0"/>
          <w:numId w:val="1007"/>
        </w:numPr>
        <w:pStyle w:val="Compact"/>
      </w:pPr>
      <w:r>
        <w:rPr>
          <w:rStyle w:val="VerbatimChar"/>
        </w:rPr>
        <w:t xml:space="preserve">PRI</w:t>
      </w:r>
      <w:r>
        <w:t xml:space="preserve">=1 – следующая заявка с приоритетом 1, то есть первого типа;</w:t>
      </w:r>
    </w:p>
    <w:p>
      <w:pPr>
        <w:numPr>
          <w:ilvl w:val="0"/>
          <w:numId w:val="1007"/>
        </w:numPr>
        <w:pStyle w:val="Compact"/>
      </w:pPr>
      <w:r>
        <w:rPr>
          <w:rStyle w:val="VerbatimChar"/>
        </w:rPr>
        <w:t xml:space="preserve">BDT</w:t>
      </w:r>
      <w:r>
        <w:t xml:space="preserve">=28815,063 – время назначенного события, связанного с данным транзактом;</w:t>
      </w:r>
    </w:p>
    <w:p>
      <w:pPr>
        <w:numPr>
          <w:ilvl w:val="0"/>
          <w:numId w:val="1007"/>
        </w:numPr>
        <w:pStyle w:val="Compact"/>
      </w:pPr>
      <w:r>
        <w:rPr>
          <w:rStyle w:val="VerbatimChar"/>
        </w:rPr>
        <w:t xml:space="preserve">ASSEM</w:t>
      </w:r>
      <w:r>
        <w:t xml:space="preserve">=141 – номер семейства транзактов;</w:t>
      </w:r>
    </w:p>
    <w:p>
      <w:pPr>
        <w:numPr>
          <w:ilvl w:val="0"/>
          <w:numId w:val="1007"/>
        </w:numPr>
        <w:pStyle w:val="Compact"/>
      </w:pPr>
      <w:r>
        <w:rPr>
          <w:rStyle w:val="VerbatimChar"/>
        </w:rPr>
        <w:t xml:space="preserve">CURRENT</w:t>
      </w:r>
      <w:r>
        <w:t xml:space="preserve">=5 – номер блока, в котором находится транзакт;</w:t>
      </w:r>
    </w:p>
    <w:p>
      <w:pPr>
        <w:numPr>
          <w:ilvl w:val="0"/>
          <w:numId w:val="1007"/>
        </w:numPr>
        <w:pStyle w:val="Compact"/>
      </w:pPr>
      <w:r>
        <w:rPr>
          <w:rStyle w:val="VerbatimChar"/>
        </w:rPr>
        <w:t xml:space="preserve">NEXT</w:t>
      </w:r>
      <w:r>
        <w:t xml:space="preserve">=6 – номер блока, в который должен войти транзакт.</w:t>
      </w:r>
    </w:p>
    <w:bookmarkEnd w:id="31"/>
    <w:bookmarkStart w:id="44" w:name="Xf2c53700e2ed52c994f143e6374ea902f84194b"/>
    <w:p>
      <w:pPr>
        <w:pStyle w:val="Heading2"/>
      </w:pPr>
      <w:r>
        <w:rPr>
          <w:rStyle w:val="SectionNumber"/>
        </w:rPr>
        <w:t xml:space="preserve">4.2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w:t>
      </w:r>
      <w:r>
        <w:t xml:space="preserve"> </w:t>
      </w:r>
      <w:hyperlink w:anchor="fig:003">
        <w:r>
          <w:rPr>
            <w:rStyle w:val="Hyperlink"/>
          </w:rPr>
          <w:t xml:space="preserve">3</w:t>
        </w:r>
      </w:hyperlink>
      <w:r>
        <w:t xml:space="preserve">).</w:t>
      </w:r>
    </w:p>
    <w:bookmarkStart w:id="0" w:name="fig:003"/>
    <w:p>
      <w:pPr>
        <w:pStyle w:val="CaptionedFigure"/>
      </w:pPr>
      <w:bookmarkStart w:id="35" w:name="fig:003"/>
      <w:r>
        <w:drawing>
          <wp:inline>
            <wp:extent cx="3955983" cy="4860757"/>
            <wp:effectExtent b="0" l="0" r="0" t="0"/>
            <wp:docPr descr="Figure 3: Модель обслуживания в порту судов двух типов" title="" id="33" name="Picture"/>
            <a:graphic>
              <a:graphicData uri="http://schemas.openxmlformats.org/drawingml/2006/picture">
                <pic:pic>
                  <pic:nvPicPr>
                    <pic:cNvPr descr="image/3.png" id="34" name="Picture"/>
                    <pic:cNvPicPr>
                      <a:picLocks noChangeArrowheads="1" noChangeAspect="1"/>
                    </pic:cNvPicPr>
                  </pic:nvPicPr>
                  <pic:blipFill>
                    <a:blip r:embed="rId32"/>
                    <a:stretch>
                      <a:fillRect/>
                    </a:stretch>
                  </pic:blipFill>
                  <pic:spPr bwMode="auto">
                    <a:xfrm>
                      <a:off x="0" y="0"/>
                      <a:ext cx="3955983" cy="4860757"/>
                    </a:xfrm>
                    <a:prstGeom prst="rect">
                      <a:avLst/>
                    </a:prstGeom>
                    <a:noFill/>
                    <a:ln w="9525">
                      <a:noFill/>
                      <a:headEnd/>
                      <a:tailEnd/>
                    </a:ln>
                  </pic:spPr>
                </pic:pic>
              </a:graphicData>
            </a:graphic>
          </wp:inline>
        </w:drawing>
      </w:r>
      <w:bookmarkEnd w:id="35"/>
    </w:p>
    <w:p>
      <w:pPr>
        <w:pStyle w:val="ImageCaption"/>
      </w:pPr>
      <w:r>
        <w:t xml:space="preserve">Figure 3: Модель обслуживания в порту судов двух типов</w:t>
      </w:r>
    </w:p>
    <w:bookmarkEnd w:id="0"/>
    <w:p>
      <w:pPr>
        <w:pStyle w:val="BodyText"/>
      </w:pPr>
      <w:r>
        <w:t xml:space="preserve">Получим отчет по симуляции (рис.</w:t>
      </w:r>
      <w:r>
        <w:t xml:space="preserve"> </w:t>
      </w:r>
      <w:hyperlink w:anchor="fig:004">
        <w:r>
          <w:rPr>
            <w:rStyle w:val="Hyperlink"/>
          </w:rPr>
          <w:t xml:space="preserve">4</w:t>
        </w:r>
      </w:hyperlink>
      <w:r>
        <w:t xml:space="preserve">,</w:t>
      </w:r>
      <w:r>
        <w:t xml:space="preserve"> </w:t>
      </w:r>
      <w:hyperlink w:anchor="fig:005">
        <w:r>
          <w:rPr>
            <w:rStyle w:val="Hyperlink"/>
          </w:rPr>
          <w:t xml:space="preserve">5</w:t>
        </w:r>
      </w:hyperlink>
      <w:r>
        <w:t xml:space="preserve">).</w:t>
      </w:r>
    </w:p>
    <w:bookmarkStart w:id="0" w:name="fig:004"/>
    <w:p>
      <w:pPr>
        <w:pStyle w:val="CaptionedFigure"/>
      </w:pPr>
      <w:bookmarkStart w:id="39" w:name="fig:004"/>
      <w:r>
        <w:drawing>
          <wp:inline>
            <wp:extent cx="4724400" cy="3886200"/>
            <wp:effectExtent b="0" l="0" r="0" t="0"/>
            <wp:docPr descr="Figure 4: Отчёт по модели обслуживания в порту судов двух типов (1/2)" title="" id="37" name="Picture"/>
            <a:graphic>
              <a:graphicData uri="http://schemas.openxmlformats.org/drawingml/2006/picture">
                <pic:pic>
                  <pic:nvPicPr>
                    <pic:cNvPr descr="image/4.png" id="38" name="Picture"/>
                    <pic:cNvPicPr>
                      <a:picLocks noChangeArrowheads="1" noChangeAspect="1"/>
                    </pic:cNvPicPr>
                  </pic:nvPicPr>
                  <pic:blipFill>
                    <a:blip r:embed="rId36"/>
                    <a:stretch>
                      <a:fillRect/>
                    </a:stretch>
                  </pic:blipFill>
                  <pic:spPr bwMode="auto">
                    <a:xfrm>
                      <a:off x="0" y="0"/>
                      <a:ext cx="4724400" cy="3886200"/>
                    </a:xfrm>
                    <a:prstGeom prst="rect">
                      <a:avLst/>
                    </a:prstGeom>
                    <a:noFill/>
                    <a:ln w="9525">
                      <a:noFill/>
                      <a:headEnd/>
                      <a:tailEnd/>
                    </a:ln>
                  </pic:spPr>
                </pic:pic>
              </a:graphicData>
            </a:graphic>
          </wp:inline>
        </w:drawing>
      </w:r>
      <w:bookmarkEnd w:id="39"/>
    </w:p>
    <w:p>
      <w:pPr>
        <w:pStyle w:val="ImageCaption"/>
      </w:pPr>
      <w:r>
        <w:t xml:space="preserve">Figure 4: Отчёт по модели обслуживания в порту судов двух типов (1/2)</w:t>
      </w:r>
    </w:p>
    <w:bookmarkEnd w:id="0"/>
    <w:bookmarkStart w:id="0" w:name="fig:005"/>
    <w:p>
      <w:pPr>
        <w:pStyle w:val="CaptionedFigure"/>
      </w:pPr>
      <w:bookmarkStart w:id="43" w:name="fig:005"/>
      <w:r>
        <w:drawing>
          <wp:inline>
            <wp:extent cx="5189220" cy="4091940"/>
            <wp:effectExtent b="0" l="0" r="0" t="0"/>
            <wp:docPr descr="Figure 5: Отчёт по модели обслуживания в порту судов двух типов (2/2)" title="" id="41" name="Picture"/>
            <a:graphic>
              <a:graphicData uri="http://schemas.openxmlformats.org/drawingml/2006/picture">
                <pic:pic>
                  <pic:nvPicPr>
                    <pic:cNvPr descr="image/5.png" id="42" name="Picture"/>
                    <pic:cNvPicPr>
                      <a:picLocks noChangeArrowheads="1" noChangeAspect="1"/>
                    </pic:cNvPicPr>
                  </pic:nvPicPr>
                  <pic:blipFill>
                    <a:blip r:embed="rId40"/>
                    <a:stretch>
                      <a:fillRect/>
                    </a:stretch>
                  </pic:blipFill>
                  <pic:spPr bwMode="auto">
                    <a:xfrm>
                      <a:off x="0" y="0"/>
                      <a:ext cx="5189220" cy="4091940"/>
                    </a:xfrm>
                    <a:prstGeom prst="rect">
                      <a:avLst/>
                    </a:prstGeom>
                    <a:noFill/>
                    <a:ln w="9525">
                      <a:noFill/>
                      <a:headEnd/>
                      <a:tailEnd/>
                    </a:ln>
                  </pic:spPr>
                </pic:pic>
              </a:graphicData>
            </a:graphic>
          </wp:inline>
        </w:drawing>
      </w:r>
      <w:bookmarkEnd w:id="43"/>
    </w:p>
    <w:p>
      <w:pPr>
        <w:pStyle w:val="ImageCaption"/>
      </w:pPr>
      <w:r>
        <w:t xml:space="preserve">Figure 5: Отчёт по модели обслуживания в порту судов двух типов (2/2)</w:t>
      </w:r>
    </w:p>
    <w:bookmarkEnd w:id="0"/>
    <w:p>
      <w:pPr>
        <w:pStyle w:val="BodyText"/>
      </w:pPr>
      <w:r>
        <w:t xml:space="preserve">Результаты работы модели:</w:t>
      </w:r>
    </w:p>
    <w:p>
      <w:pPr>
        <w:numPr>
          <w:ilvl w:val="0"/>
          <w:numId w:val="1008"/>
        </w:numPr>
        <w:pStyle w:val="Compact"/>
      </w:pPr>
      <w:r>
        <w:t xml:space="preserve">модельное время в начале моделирования:</w:t>
      </w:r>
      <w:r>
        <w:t xml:space="preserve"> </w:t>
      </w:r>
      <w:r>
        <w:rPr>
          <w:rStyle w:val="VerbatimChar"/>
        </w:rPr>
        <w:t xml:space="preserve">START TIME</w:t>
      </w:r>
      <w:r>
        <w:t xml:space="preserve">=0.0;</w:t>
      </w:r>
    </w:p>
    <w:p>
      <w:pPr>
        <w:numPr>
          <w:ilvl w:val="0"/>
          <w:numId w:val="1008"/>
        </w:numPr>
        <w:pStyle w:val="Compact"/>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numPr>
          <w:ilvl w:val="0"/>
          <w:numId w:val="1008"/>
        </w:numPr>
        <w:pStyle w:val="Compact"/>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numPr>
          <w:ilvl w:val="0"/>
          <w:numId w:val="1008"/>
        </w:numPr>
        <w:pStyle w:val="Compact"/>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numPr>
          <w:ilvl w:val="0"/>
          <w:numId w:val="1008"/>
        </w:numPr>
        <w:pStyle w:val="Compact"/>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9"/>
        </w:numPr>
      </w:pPr>
      <w:r>
        <w:rPr>
          <w:rStyle w:val="VerbatimChar"/>
        </w:rPr>
        <w:t xml:space="preserve">QUEUE</w:t>
      </w:r>
      <w:r>
        <w:t xml:space="preserve">=TYPE1 – имя объекта типа «очередь» для первого типа судов;</w:t>
      </w:r>
    </w:p>
    <w:p>
      <w:pPr>
        <w:numPr>
          <w:ilvl w:val="0"/>
          <w:numId w:val="1009"/>
        </w:numPr>
      </w:pPr>
      <w:r>
        <w:rPr>
          <w:rStyle w:val="VerbatimChar"/>
        </w:rPr>
        <w:t xml:space="preserve">MAX</w:t>
      </w:r>
      <w:r>
        <w:t xml:space="preserve">=4 – максимальное число ожидающих заявок от клиента в очереди;</w:t>
      </w:r>
    </w:p>
    <w:p>
      <w:pPr>
        <w:numPr>
          <w:ilvl w:val="0"/>
          <w:numId w:val="1009"/>
        </w:numPr>
      </w:pPr>
      <w:r>
        <w:rPr>
          <w:rStyle w:val="VerbatimChar"/>
        </w:rPr>
        <w:t xml:space="preserve">CONT</w:t>
      </w:r>
      <w:r>
        <w:t xml:space="preserve">=0 – на момент завершения моделирования очередь была пуста;</w:t>
      </w:r>
    </w:p>
    <w:p>
      <w:pPr>
        <w:numPr>
          <w:ilvl w:val="0"/>
          <w:numId w:val="1009"/>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9"/>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9"/>
        </w:numPr>
      </w:pPr>
      <w:r>
        <w:rPr>
          <w:rStyle w:val="VerbatimChar"/>
        </w:rPr>
        <w:t xml:space="preserve">AVE.CONT</w:t>
      </w:r>
      <w:r>
        <w:t xml:space="preserve">=0,750 заявок от клиентов в среднем были в очереди;</w:t>
      </w:r>
    </w:p>
    <w:p>
      <w:pPr>
        <w:numPr>
          <w:ilvl w:val="0"/>
          <w:numId w:val="1009"/>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9"/>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9"/>
        </w:numPr>
      </w:pPr>
      <w:r>
        <w:rPr>
          <w:rStyle w:val="VerbatimChar"/>
        </w:rPr>
        <w:t xml:space="preserve">QUEUE</w:t>
      </w:r>
      <w:r>
        <w:t xml:space="preserve">=TYPE2 – имя объекта типа «очередь» для второго типа судов;</w:t>
      </w:r>
    </w:p>
    <w:p>
      <w:pPr>
        <w:numPr>
          <w:ilvl w:val="0"/>
          <w:numId w:val="1009"/>
        </w:numPr>
      </w:pPr>
      <w:r>
        <w:rPr>
          <w:rStyle w:val="VerbatimChar"/>
        </w:rPr>
        <w:t xml:space="preserve">MAX</w:t>
      </w:r>
      <w:r>
        <w:t xml:space="preserve">=4 – максимальное число ожидающих заявок от клиента в очереди;</w:t>
      </w:r>
    </w:p>
    <w:p>
      <w:pPr>
        <w:numPr>
          <w:ilvl w:val="0"/>
          <w:numId w:val="1009"/>
        </w:numPr>
      </w:pPr>
      <w:r>
        <w:rPr>
          <w:rStyle w:val="VerbatimChar"/>
        </w:rPr>
        <w:t xml:space="preserve">CONT</w:t>
      </w:r>
      <w:r>
        <w:t xml:space="preserve">=2 – количество заявок в очереди на момент завершения моделирования;</w:t>
      </w:r>
    </w:p>
    <w:p>
      <w:pPr>
        <w:numPr>
          <w:ilvl w:val="0"/>
          <w:numId w:val="1009"/>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9"/>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9"/>
        </w:numPr>
      </w:pPr>
      <w:r>
        <w:rPr>
          <w:rStyle w:val="VerbatimChar"/>
        </w:rPr>
        <w:t xml:space="preserve">AVE.CONT</w:t>
      </w:r>
      <w:r>
        <w:t xml:space="preserve">=0,897 заявок от клиентов в среднем были в очереди;</w:t>
      </w:r>
    </w:p>
    <w:p>
      <w:pPr>
        <w:numPr>
          <w:ilvl w:val="0"/>
          <w:numId w:val="1009"/>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9"/>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44"/>
    <w:bookmarkEnd w:id="45"/>
    <w:bookmarkStart w:id="46" w:name="выводы"/>
    <w:p>
      <w:pPr>
        <w:pStyle w:val="Heading1"/>
      </w:pPr>
      <w:r>
        <w:rPr>
          <w:rStyle w:val="SectionNumber"/>
        </w:rPr>
        <w:t xml:space="preserve">5</w:t>
      </w:r>
      <w:r>
        <w:tab/>
      </w:r>
      <w:r>
        <w:t xml:space="preserve">Выводы</w:t>
      </w:r>
    </w:p>
    <w:p>
      <w:pPr>
        <w:pStyle w:val="FirstParagraph"/>
      </w:pPr>
      <w:r>
        <w:t xml:space="preserve">В результате выполнения работы были реализованы с помощью gpss:</w:t>
      </w:r>
    </w:p>
    <w:p>
      <w:pPr>
        <w:numPr>
          <w:ilvl w:val="0"/>
          <w:numId w:val="1010"/>
        </w:numPr>
        <w:pStyle w:val="Compact"/>
      </w:pPr>
      <w:r>
        <w:t xml:space="preserve">Модель обслуживания механиков на складе;</w:t>
      </w:r>
    </w:p>
    <w:p>
      <w:pPr>
        <w:numPr>
          <w:ilvl w:val="0"/>
          <w:numId w:val="1010"/>
        </w:numPr>
        <w:pStyle w:val="Compact"/>
      </w:pPr>
      <w:r>
        <w:t xml:space="preserve">Модель обслуживания в порту судов двух типов.</w:t>
      </w:r>
    </w:p>
    <w:bookmarkEnd w:id="46"/>
    <w:bookmarkStart w:id="54" w:name="список-литературы"/>
    <w:p>
      <w:pPr>
        <w:pStyle w:val="Heading1"/>
      </w:pPr>
      <w:r>
        <w:t xml:space="preserve">Список литературы</w:t>
      </w:r>
    </w:p>
    <w:bookmarkStart w:id="53" w:name="refs"/>
    <w:bookmarkStart w:id="47" w:name="ref-1"/>
    <w:p>
      <w:pPr>
        <w:pStyle w:val="Bibliography"/>
      </w:pPr>
      <w:r>
        <w:t xml:space="preserve">1.</w:t>
      </w:r>
      <w:r>
        <w:t xml:space="preserve"> </w:t>
      </w:r>
      <w:r>
        <w:t xml:space="preserve">	</w:t>
      </w:r>
      <w:r>
        <w:t xml:space="preserve">Королькова А.В., Кулябов Д.С. Моделирование информационных процессов: Лабораторная работа №15. РУДН, 2025.</w:t>
      </w:r>
    </w:p>
    <w:bookmarkEnd w:id="47"/>
    <w:bookmarkStart w:id="48" w:name="ref-2"/>
    <w:p>
      <w:pPr>
        <w:pStyle w:val="Bibliography"/>
      </w:pPr>
      <w:r>
        <w:t xml:space="preserve">2.</w:t>
      </w:r>
      <w:r>
        <w:t xml:space="preserve"> </w:t>
      </w:r>
      <w:r>
        <w:t xml:space="preserve">	</w:t>
      </w:r>
      <w:r>
        <w:t xml:space="preserve">Шрайбер Г.Дж. Моделирование на GPSS. Машиностроение, 1987.</w:t>
      </w:r>
    </w:p>
    <w:bookmarkEnd w:id="48"/>
    <w:bookmarkStart w:id="50" w:name="ref-3"/>
    <w:p>
      <w:pPr>
        <w:pStyle w:val="Bibliography"/>
      </w:pPr>
      <w:r>
        <w:t xml:space="preserve">3.</w:t>
      </w:r>
      <w:r>
        <w:t xml:space="preserve"> </w:t>
      </w:r>
      <w:r>
        <w:t xml:space="preserve">	</w:t>
      </w:r>
      <w:r>
        <w:t xml:space="preserve">Алтаев А.Т.</w:t>
      </w:r>
      <w:r>
        <w:t xml:space="preserve"> </w:t>
      </w:r>
      <w:hyperlink r:id="rId49">
        <w:r>
          <w:rPr>
            <w:rStyle w:val="Hyperlink"/>
          </w:rPr>
          <w:t xml:space="preserve">Имитационное моделирование на языке GPSS</w:t>
        </w:r>
      </w:hyperlink>
      <w:r>
        <w:t xml:space="preserve">. АлтГТУ, 2002.</w:t>
      </w:r>
    </w:p>
    <w:bookmarkEnd w:id="50"/>
    <w:bookmarkStart w:id="52" w:name="ref-4"/>
    <w:p>
      <w:pPr>
        <w:pStyle w:val="Bibliography"/>
      </w:pPr>
      <w:r>
        <w:t xml:space="preserve">4.</w:t>
      </w:r>
      <w:r>
        <w:t xml:space="preserve"> </w:t>
      </w:r>
      <w:r>
        <w:t xml:space="preserve">	</w:t>
      </w:r>
      <w:r>
        <w:t xml:space="preserve">Кудрявцев В.А.</w:t>
      </w:r>
      <w:r>
        <w:t xml:space="preserve"> </w:t>
      </w:r>
      <w:hyperlink r:id="rId51">
        <w:r>
          <w:rPr>
            <w:rStyle w:val="Hyperlink"/>
          </w:rPr>
          <w:t xml:space="preserve">GPSS World</w:t>
        </w:r>
      </w:hyperlink>
      <w:r>
        <w:t xml:space="preserve">. Изд-во ОмГТУ, 2004.</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49" Target="http://simulation.su/uploads/files/default/2002-uch-posob-altaev-1.pdf" TargetMode="External" /><Relationship Type="http://schemas.openxmlformats.org/officeDocument/2006/relationships/hyperlink" Id="rId51" Target="http://simulation.su/uploads/files/default/2004-uch-posob-kudryavcev-1.pdf" TargetMode="External" /></Relationships>
</file>

<file path=word/_rels/footnotes.xml.rels><?xml version="1.0" encoding="UTF-8"?><Relationships xmlns="http://schemas.openxmlformats.org/package/2006/relationships"><Relationship Type="http://schemas.openxmlformats.org/officeDocument/2006/relationships/hyperlink" Id="rId49" Target="http://simulation.su/uploads/files/default/2002-uch-posob-altaev-1.pdf" TargetMode="External" /><Relationship Type="http://schemas.openxmlformats.org/officeDocument/2006/relationships/hyperlink" Id="rId51" Target="http://simulation.su/uploads/files/default/2004-uch-posob-kudryavcev-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Модели обслуживания с приоритетами</dc:title>
  <dc:creator>Ибатулина Дарья Эдуардовна</dc:creator>
  <dc:language>ru-RU</dc:language>
  <cp:keywords/>
  <dcterms:created xsi:type="dcterms:W3CDTF">2025-05-17T11:14:06Z</dcterms:created>
  <dcterms:modified xsi:type="dcterms:W3CDTF">2025-05-17T11:14:06Z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Отчёт по лабораторной работе №15</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