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</w:t>
      </w:r>
      <w:r>
        <w:t xml:space="preserve"> </w:t>
      </w:r>
      <w:r>
        <w:rPr>
          <w:rStyle w:val="VerbatimChar"/>
        </w:rPr>
        <w:t xml:space="preserve">gpss</w:t>
      </w:r>
      <w:r>
        <w:t xml:space="preserve"> </w:t>
      </w:r>
      <w:r>
        <w:t xml:space="preserve">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Пакет GPSS(General Purpose Simulation System — система моделирования общего назначения) предназначен для имитационного моделирования дискретных систем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Имитационная модель в GPSS представляет собой последовательность текстовых строк, каждая из которых определяет правила создания, перемещения, задержки и удаления транзактов.</w:t>
      </w:r>
    </w:p>
    <w:p>
      <w:pPr>
        <w:pStyle w:val="BodyText"/>
      </w:pPr>
      <w:r>
        <w:rPr>
          <w:iCs/>
          <w:i/>
        </w:rPr>
        <w:t xml:space="preserve">Транзакт</w:t>
      </w:r>
      <w:r>
        <w:t xml:space="preserve"> </w:t>
      </w:r>
      <w:r>
        <w:t xml:space="preserve">— динамический объект, отождествляемый с заявкой на обслуживание, который перемещается между элементами системы.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Использованы материалы из</w:t>
      </w:r>
      <w:r>
        <w:t xml:space="preserve"> </w:t>
      </w:r>
      <w:r>
        <w:t xml:space="preserve">[2]</w:t>
      </w:r>
      <w:r>
        <w:t xml:space="preserve">.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 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 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 пропуска;</w:t>
      </w:r>
    </w:p>
    <w:p>
      <w:pPr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 пунктом пропуска.</w:t>
      </w:r>
    </w:p>
    <w:p>
      <w:pPr>
        <w:pStyle w:val="FirstParagraph"/>
      </w:pP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1.75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3"/>
    <w:bookmarkStart w:id="41" w:name="построение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720590"/>
            <wp:effectExtent b="0" l="0" r="0" t="0"/>
            <wp:docPr descr="Figure 1: Модель первой стратегии обслуживан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Модель первой стратегии обслуживания</w:t>
      </w:r>
    </w:p>
    <w:bookmarkEnd w:id="0"/>
    <w:p>
      <w:pPr>
        <w:pStyle w:val="BodyText"/>
      </w:pPr>
      <w:r>
        <w:t xml:space="preserve">После запуска симуляции получим отчёт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5960672"/>
            <wp:effectExtent b="0" l="0" r="0" t="0"/>
            <wp:docPr descr="Figure 2: Отчёт по модели первой стратегии обслуживан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Отчёт по модели первой стратегии обслуживания</w:t>
      </w:r>
    </w:p>
    <w:bookmarkEnd w:id="0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279286"/>
            <wp:effectExtent b="0" l="0" r="0" t="0"/>
            <wp:docPr descr="Figure 3: Модель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Модель второй стратегии обслуживания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5296277"/>
            <wp:effectExtent b="0" l="0" r="0" t="0"/>
            <wp:docPr descr="Figure 4: Отчет по модели второй стратегии обслуживан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Отчет по модели второй стратегии обслуживания</w:t>
      </w:r>
    </w:p>
    <w:bookmarkEnd w:id="0"/>
    <w:p>
      <w:pPr>
        <w:pStyle w:val="BodyText"/>
      </w:pPr>
      <w:r>
        <w:t xml:space="preserve">Составим таблицу по полученной статистике (табл. [</w:t>
      </w:r>
      <w:hyperlink w:anchor="tbl:strategy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tbl:strategy"/>
    <w:bookmarkStart w:id="40" w:name="tbl:strategy"/>
    <w:p>
      <w:pPr>
        <w:pStyle w:val="TableCaption"/>
      </w:pPr>
      <w:r>
        <w:t xml:space="preserve">Table 1: Сравнение стратегий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Сравнение стратегий 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bookmarkEnd w:id="40"/>
    <w:bookmarkEnd w:id="0"/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1 -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41"/>
    <w:bookmarkStart w:id="90" w:name="Xf93fd02b9c527d9f12f26d897c7ed4444cb9e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[0.5; 0.95];</w:t>
      </w:r>
    </w:p>
    <w:p>
      <w:pPr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759308"/>
            <wp:effectExtent b="0" l="0" r="0" t="0"/>
            <wp:docPr descr="Figure 5: Модель двух стратегий обслуживания с 1 пропускным пунктом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Модель двух стратегий обслуживания с 1 пропускным пунктом</w:t>
      </w:r>
    </w:p>
    <w:bookmarkEnd w:id="0"/>
    <w:p>
      <w:pPr>
        <w:pStyle w:val="BodyText"/>
      </w:pPr>
      <w:r>
        <w:t xml:space="preserve">После симуляции получим следующий отчет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4850347"/>
            <wp:effectExtent b="0" l="0" r="0" t="0"/>
            <wp:docPr descr="Figure 6: Отчёт по модели двух стратегий обслуживания с 1 пропускным пунктом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Отчёт по модели двух стратегий обслуживания с 1 пропускным пунктом</w:t>
      </w:r>
    </w:p>
    <w:bookmarkEnd w:id="0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3762632"/>
            <wp:effectExtent b="0" l="0" r="0" t="0"/>
            <wp:docPr descr="Figure 7: Модель первой стратегии обслуживания с 3 пропускными пунктами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Модель первой стратегии обслуживания с 3 пропускными пунктами</w:t>
      </w:r>
    </w:p>
    <w:bookmarkEnd w:id="0"/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6158927"/>
            <wp:effectExtent b="0" l="0" r="0" t="0"/>
            <wp:docPr descr="Figure 8: Отчёт по модели перв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Отчёт по модели первой стратегии обслуживания с 3 пропускными пунктами</w:t>
      </w:r>
    </w:p>
    <w:bookmarkEnd w:id="0"/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1647382"/>
            <wp:effectExtent b="0" l="0" r="0" t="0"/>
            <wp:docPr descr="Figure 9: Отчёт по модели первой стратегии обслуживания с 3 пропускными пунктами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Отчёт по модели первой стратегии обслуживания с 3 пропускными пунктами</w:t>
      </w:r>
    </w:p>
    <w:bookmarkEnd w:id="0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4425035"/>
            <wp:effectExtent b="0" l="0" r="0" t="0"/>
            <wp:docPr descr="Figure 10: Модель первой стратегии обслуживания с 4 пропускными пунктами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Модель первой стратегии обслуживания с 4 пропускными пунктами</w:t>
      </w:r>
    </w:p>
    <w:bookmarkEnd w:id="0"/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6501847"/>
            <wp:effectExtent b="0" l="0" r="0" t="0"/>
            <wp:docPr descr="Figure 11: Отчёт по модели первой стратегии обслуживания с 4 пропускными пунктами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Отчёт по модели первой стратегии обслуживания с 4 пропускными пунктами</w:t>
      </w:r>
    </w:p>
    <w:bookmarkEnd w:id="0"/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3091477"/>
            <wp:effectExtent b="0" l="0" r="0" t="0"/>
            <wp:docPr descr="Figure 12: Отчёт по модели первой стратегии обслуживания с 4 пропускными пунктами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Отчёт по модели первой стратегии обслуживания с 4 пропускными пунктами</w:t>
      </w:r>
    </w:p>
    <w:bookmarkEnd w:id="0"/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605935"/>
            <wp:effectExtent b="0" l="0" r="0" t="0"/>
            <wp:docPr descr="Figure 13: Модель второй стратегии обслуживания с 3 пропускными пунктами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Модель второй стратегии обслуживания с 3 пропускными пунктами</w:t>
      </w:r>
    </w:p>
    <w:bookmarkEnd w:id="0"/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4916493"/>
            <wp:effectExtent b="0" l="0" r="0" t="0"/>
            <wp:docPr descr="Figure 14: Отчёт по модели второй стратегии обслуживания с 3 пропускными пунктами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Отчёт по модели второй стратегии обслуживания с 3 пропускными пунктами</w:t>
      </w:r>
    </w:p>
    <w:bookmarkEnd w:id="0"/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2160880"/>
            <wp:effectExtent b="0" l="0" r="0" t="0"/>
            <wp:docPr descr="Figure 15: Модель второй стратегии обслуживания с 4 пропускными пунктами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Модель второй стратегии обслуживания с 4 пропускными пунктами</w:t>
      </w:r>
    </w:p>
    <w:bookmarkEnd w:id="0"/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5373628"/>
            <wp:effectExtent b="0" l="0" r="0" t="0"/>
            <wp:docPr descr="Figure 16: Отчёт по модели второй стратегии обслуживания с 4 пропускными пунктами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Отчёт по модели второй стратегии обслуживания с 4 пропускными пунктами</w:t>
      </w:r>
    </w:p>
    <w:bookmarkEnd w:id="0"/>
    <w:p>
      <w:pPr>
        <w:pStyle w:val="BodyText"/>
      </w:pPr>
      <w:r>
        <w:t xml:space="preserve">Здесь все критерии выполнены, при этом время ожидания и среднее число автомобилей меньше, чем в случае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</w:t>
      </w:r>
      <w:r>
        <w:t xml:space="preserve"> </w:t>
      </w:r>
      <w:r>
        <w:rPr>
          <w:rStyle w:val="VerbatimChar"/>
        </w:rPr>
        <w:t xml:space="preserve">gpss</w:t>
      </w:r>
      <w:r>
        <w:t xml:space="preserve">:</w:t>
      </w:r>
    </w:p>
    <w:p>
      <w:pPr>
        <w:numPr>
          <w:ilvl w:val="0"/>
          <w:numId w:val="1006"/>
        </w:numPr>
      </w:pPr>
      <w:r>
        <w:t xml:space="preserve">модель с двумя очередями;</w:t>
      </w:r>
    </w:p>
    <w:p>
      <w:pPr>
        <w:numPr>
          <w:ilvl w:val="0"/>
          <w:numId w:val="1006"/>
        </w:numPr>
      </w:pPr>
      <w:r>
        <w:t xml:space="preserve">модель с одной очередью;</w:t>
      </w:r>
    </w:p>
    <w:p>
      <w:pPr>
        <w:numPr>
          <w:ilvl w:val="0"/>
          <w:numId w:val="1006"/>
        </w:numPr>
      </w:pPr>
      <w:r>
        <w:t xml:space="preserve">изменение модели таким образом, чтобы определить оптимальное число пропускных пунктов для каждой из двух стратегий.</w:t>
      </w:r>
    </w:p>
    <w:bookmarkEnd w:id="92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3" w:name="ref-gps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93"/>
    <w:bookmarkStart w:id="94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16. Задачи оптимизации. Модель двух стратегий обслуживания [Электронный ресурс].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оптимизации. Модель двух стратегий обслуживания</dc:title>
  <dc:creator>Ибатулина Дарья Эдуардовна</dc:creator>
  <dc:language>ru-RU</dc:language>
  <cp:keywords/>
  <dcterms:created xsi:type="dcterms:W3CDTF">2025-05-24T15:17:22Z</dcterms:created>
  <dcterms:modified xsi:type="dcterms:W3CDTF">2025-05-24T15:17:22Z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