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CONFIRMATION OF SHARE OPTION TRANSACTION</w:t>
      </w:r>
    </w:p>
    <w:p>
      <w:r>
        <w:rPr>
          <w:b/>
        </w:rPr>
        <w:t>To:</w:t>
        <w:tab/>
      </w:r>
      <w:r>
        <w:t>Blue Harbor Asset Management Ltd ("Counterparty")</w:t>
      </w:r>
    </w:p>
    <w:p>
      <w:r>
        <w:rPr>
          <w:b/>
        </w:rPr>
        <w:t>Legal Entity Identifier (LEI):</w:t>
        <w:tab/>
      </w:r>
      <w:r>
        <w:t>TESTLEI00BLUEHRBR001</w:t>
      </w:r>
    </w:p>
    <w:p>
      <w:r>
        <w:rPr>
          <w:b/>
        </w:rPr>
        <w:t>Attention:</w:t>
        <w:tab/>
      </w:r>
      <w:r>
        <w:t>Middle Office</w:t>
      </w:r>
    </w:p>
    <w:p>
      <w:r>
        <w:rPr>
          <w:b/>
        </w:rPr>
        <w:t>Email:</w:t>
        <w:tab/>
      </w:r>
      <w:r>
        <w:t>ops@blueharbor-am.example</w:t>
      </w:r>
    </w:p>
    <w:p>
      <w:r>
        <w:rPr>
          <w:b/>
        </w:rPr>
        <w:t>From:</w:t>
        <w:tab/>
      </w:r>
      <w:r>
        <w:t>Ardsley Global Markets, N.A. ("Ardsley")</w:t>
      </w:r>
    </w:p>
    <w:p>
      <w:r>
        <w:rPr>
          <w:b/>
        </w:rPr>
        <w:t>Legal Entity Identifier (LEI):</w:t>
        <w:tab/>
      </w:r>
      <w:r>
        <w:t>TESTLEI00ARDSLEY0001</w:t>
      </w:r>
    </w:p>
    <w:p>
      <w:r>
        <w:rPr>
          <w:b/>
        </w:rPr>
        <w:t>Phone:</w:t>
        <w:tab/>
      </w:r>
      <w:r>
        <w:t>212-555-0140</w:t>
      </w:r>
    </w:p>
    <w:p>
      <w:r>
        <w:rPr>
          <w:b/>
        </w:rPr>
        <w:t>Ardsley Ref. No:</w:t>
        <w:tab/>
      </w:r>
      <w:r>
        <w:t>ARD-EQO-2026-04502</w:t>
      </w:r>
    </w:p>
    <w:p>
      <w:r>
        <w:rPr>
          <w:b/>
        </w:rPr>
        <w:t>Date:</w:t>
        <w:tab/>
      </w:r>
      <w:r>
        <w:t>August 3, 2026</w:t>
      </w:r>
    </w:p>
    <w:p>
      <w:r>
        <w:t>Dear Sir or Madam:</w:t>
      </w:r>
    </w:p>
    <w:p>
      <w:r>
        <w:t>This confirms the terms and conditions of the Transaction described below entered into between Counterparty and Ardsley on the Trade Date specified below (the "Transaction") and constitutes a "Confirmation" as referred to in the ISDA Master Agreement specified below.</w:t>
      </w:r>
    </w:p>
    <w:p>
      <w:r>
        <w:t>The definitions and provisions contained in the 2002 ISDA Equity Derivatives Definitions (the "Equity Definitions"), as published by the International Swaps and Derivatives Association, Inc. ("ISDA") are incorporated into, and subject to this Confirmation. In the event of any inconsistency between the Equity Definitions and this Confirmation, this Confirmation will prevail.</w:t>
      </w:r>
    </w:p>
    <w:p>
      <w:r>
        <w:t>This Confirmation supplements, forms part of, and is subject to, the ISDA Master Agreement between Ardsley and Counterparty dated as of March 14, 2024 as amended and supplemented from time to time (the "ISDA Master Agreement"). All provisions contained or incorporated by reference in the ISDA Master Agreement will govern this Confirmation except as expressly modified herein.</w:t>
      </w:r>
    </w:p>
    <w:p>
      <w:r>
        <w:t>The terms of the Transaction to which this Confirmation relates are as follows:</w:t>
      </w:r>
    </w:p>
    <w:p>
      <w:r>
        <w:rPr>
          <w:b/>
        </w:rPr>
        <w:t>1. General Terms:</w:t>
      </w:r>
    </w:p>
    <w:tbl>
      <w:tblPr>
        <w:tblStyle w:val="TableGrid"/>
        <w:tblW w:type="auto" w:w="0"/>
        <w:tblLook w:firstColumn="1" w:firstRow="1" w:lastColumn="0" w:lastRow="0" w:noHBand="0" w:noVBand="1" w:val="04A0"/>
      </w:tblPr>
      <w:tblGrid>
        <w:gridCol w:w="4320"/>
        <w:gridCol w:w="4320"/>
      </w:tblGrid>
      <w:tr>
        <w:tc>
          <w:tcPr>
            <w:tcW w:type="dxa" w:w="4320"/>
          </w:tcPr>
          <w:p>
            <w:r>
              <w:rPr>
                <w:b/>
              </w:rPr>
              <w:t>Trade Date</w:t>
            </w:r>
          </w:p>
        </w:tc>
        <w:tc>
          <w:tcPr>
            <w:tcW w:type="dxa" w:w="4320"/>
          </w:tcPr>
          <w:p>
            <w:r>
              <w:t>August 3, 2026</w:t>
            </w:r>
          </w:p>
        </w:tc>
      </w:tr>
      <w:tr>
        <w:tc>
          <w:tcPr>
            <w:tcW w:type="dxa" w:w="4320"/>
          </w:tcPr>
          <w:p>
            <w:r>
              <w:rPr>
                <w:b/>
              </w:rPr>
              <w:t>Option Style</w:t>
            </w:r>
          </w:p>
        </w:tc>
        <w:tc>
          <w:tcPr>
            <w:tcW w:type="dxa" w:w="4320"/>
          </w:tcPr>
          <w:p>
            <w:r>
              <w:t>European</w:t>
            </w:r>
          </w:p>
        </w:tc>
      </w:tr>
      <w:tr>
        <w:tc>
          <w:tcPr>
            <w:tcW w:type="dxa" w:w="4320"/>
          </w:tcPr>
          <w:p>
            <w:r>
              <w:rPr>
                <w:b/>
              </w:rPr>
              <w:t>Option Type</w:t>
            </w:r>
          </w:p>
        </w:tc>
        <w:tc>
          <w:tcPr>
            <w:tcW w:type="dxa" w:w="4320"/>
          </w:tcPr>
          <w:p>
            <w:r>
              <w:t>Put</w:t>
            </w:r>
          </w:p>
        </w:tc>
      </w:tr>
      <w:tr>
        <w:tc>
          <w:tcPr>
            <w:tcW w:type="dxa" w:w="4320"/>
          </w:tcPr>
          <w:p>
            <w:r>
              <w:rPr>
                <w:b/>
              </w:rPr>
              <w:t>Seller</w:t>
            </w:r>
          </w:p>
        </w:tc>
        <w:tc>
          <w:tcPr>
            <w:tcW w:type="dxa" w:w="4320"/>
          </w:tcPr>
          <w:p>
            <w:r>
              <w:t>Counterparty</w:t>
            </w:r>
          </w:p>
        </w:tc>
      </w:tr>
      <w:tr>
        <w:tc>
          <w:tcPr>
            <w:tcW w:type="dxa" w:w="4320"/>
          </w:tcPr>
          <w:p>
            <w:r>
              <w:rPr>
                <w:b/>
              </w:rPr>
              <w:t>Buyer</w:t>
            </w:r>
          </w:p>
        </w:tc>
        <w:tc>
          <w:tcPr>
            <w:tcW w:type="dxa" w:w="4320"/>
          </w:tcPr>
          <w:p>
            <w:r>
              <w:t>Ardsley</w:t>
            </w:r>
          </w:p>
        </w:tc>
      </w:tr>
      <w:tr>
        <w:tc>
          <w:tcPr>
            <w:tcW w:type="dxa" w:w="4320"/>
          </w:tcPr>
          <w:p>
            <w:r>
              <w:rPr>
                <w:b/>
              </w:rPr>
              <w:t>Shares</w:t>
            </w:r>
          </w:p>
        </w:tc>
        <w:tc>
          <w:tcPr>
            <w:tcW w:type="dxa" w:w="4320"/>
          </w:tcPr>
          <w:p>
            <w:r>
              <w:t>Microsoft Corporation (Ticker: MSFT)</w:t>
            </w:r>
          </w:p>
        </w:tc>
      </w:tr>
      <w:tr>
        <w:tc>
          <w:tcPr>
            <w:tcW w:type="dxa" w:w="4320"/>
          </w:tcPr>
          <w:p>
            <w:r>
              <w:rPr>
                <w:b/>
              </w:rPr>
              <w:t>Number of Options</w:t>
            </w:r>
          </w:p>
        </w:tc>
        <w:tc>
          <w:tcPr>
            <w:tcW w:type="dxa" w:w="4320"/>
          </w:tcPr>
          <w:p>
            <w:r>
              <w:t>800</w:t>
            </w:r>
          </w:p>
        </w:tc>
      </w:tr>
      <w:tr>
        <w:tc>
          <w:tcPr>
            <w:tcW w:type="dxa" w:w="4320"/>
          </w:tcPr>
          <w:p>
            <w:r>
              <w:rPr>
                <w:b/>
              </w:rPr>
              <w:t>Option Entitlement</w:t>
            </w:r>
          </w:p>
        </w:tc>
        <w:tc>
          <w:tcPr>
            <w:tcW w:type="dxa" w:w="4320"/>
          </w:tcPr>
          <w:p>
            <w:r>
              <w:t>1 Share per Option</w:t>
            </w:r>
          </w:p>
        </w:tc>
      </w:tr>
      <w:tr>
        <w:tc>
          <w:tcPr>
            <w:tcW w:type="dxa" w:w="4320"/>
          </w:tcPr>
          <w:p>
            <w:r>
              <w:rPr>
                <w:b/>
              </w:rPr>
              <w:t>Strike Price</w:t>
            </w:r>
          </w:p>
        </w:tc>
        <w:tc>
          <w:tcPr>
            <w:tcW w:type="dxa" w:w="4320"/>
          </w:tcPr>
          <w:p>
            <w:r>
              <w:t>USD 505.00</w:t>
            </w:r>
          </w:p>
        </w:tc>
      </w:tr>
      <w:tr>
        <w:tc>
          <w:tcPr>
            <w:tcW w:type="dxa" w:w="4320"/>
          </w:tcPr>
          <w:p>
            <w:r>
              <w:rPr>
                <w:b/>
              </w:rPr>
              <w:t>Initial Price</w:t>
            </w:r>
          </w:p>
        </w:tc>
        <w:tc>
          <w:tcPr>
            <w:tcW w:type="dxa" w:w="4320"/>
          </w:tcPr>
          <w:p>
            <w:r>
              <w:t>USD 512.30</w:t>
            </w:r>
          </w:p>
        </w:tc>
      </w:tr>
      <w:tr>
        <w:tc>
          <w:tcPr>
            <w:tcW w:type="dxa" w:w="4320"/>
          </w:tcPr>
          <w:p>
            <w:r>
              <w:rPr>
                <w:b/>
              </w:rPr>
              <w:t>Premium</w:t>
            </w:r>
          </w:p>
        </w:tc>
        <w:tc>
          <w:tcPr>
            <w:tcW w:type="dxa" w:w="4320"/>
          </w:tcPr>
          <w:p>
            <w:r>
              <w:t>USD 21.40 per Option</w:t>
            </w:r>
          </w:p>
        </w:tc>
      </w:tr>
      <w:tr>
        <w:tc>
          <w:tcPr>
            <w:tcW w:type="dxa" w:w="4320"/>
          </w:tcPr>
          <w:p>
            <w:r>
              <w:rPr>
                <w:b/>
              </w:rPr>
              <w:t>Premium Payment Date</w:t>
            </w:r>
          </w:p>
        </w:tc>
        <w:tc>
          <w:tcPr>
            <w:tcW w:type="dxa" w:w="4320"/>
          </w:tcPr>
          <w:p>
            <w:r>
              <w:t>Three (3) Currency Business Days following the Trade Date</w:t>
            </w:r>
          </w:p>
        </w:tc>
      </w:tr>
      <w:tr>
        <w:tc>
          <w:tcPr>
            <w:tcW w:type="dxa" w:w="4320"/>
          </w:tcPr>
          <w:p>
            <w:r>
              <w:rPr>
                <w:b/>
              </w:rPr>
              <w:t>Exchange</w:t>
            </w:r>
          </w:p>
        </w:tc>
        <w:tc>
          <w:tcPr>
            <w:tcW w:type="dxa" w:w="4320"/>
          </w:tcPr>
          <w:p>
            <w:r>
              <w:t>The NASDAQ Global Select Market</w:t>
            </w:r>
          </w:p>
        </w:tc>
      </w:tr>
      <w:tr>
        <w:tc>
          <w:tcPr>
            <w:tcW w:type="dxa" w:w="4320"/>
          </w:tcPr>
          <w:p>
            <w:r>
              <w:rPr>
                <w:b/>
              </w:rPr>
              <w:t>Expiration Date</w:t>
            </w:r>
          </w:p>
        </w:tc>
        <w:tc>
          <w:tcPr>
            <w:tcW w:type="dxa" w:w="4320"/>
          </w:tcPr>
          <w:p>
            <w:r>
              <w:t>February 19, 2027</w:t>
            </w:r>
          </w:p>
        </w:tc>
      </w:tr>
      <w:tr>
        <w:tc>
          <w:tcPr>
            <w:tcW w:type="dxa" w:w="4320"/>
          </w:tcPr>
          <w:p>
            <w:r>
              <w:rPr>
                <w:b/>
              </w:rPr>
              <w:t>Settlement Method</w:t>
            </w:r>
          </w:p>
        </w:tc>
        <w:tc>
          <w:tcPr>
            <w:tcW w:type="dxa" w:w="4320"/>
          </w:tcPr>
          <w:p>
            <w:r>
              <w:t>Physical Settlement</w:t>
            </w:r>
          </w:p>
        </w:tc>
      </w:tr>
      <w:tr>
        <w:tc>
          <w:tcPr>
            <w:tcW w:type="dxa" w:w="4320"/>
          </w:tcPr>
          <w:p>
            <w:r>
              <w:rPr>
                <w:b/>
              </w:rPr>
              <w:t>Settlement Currency</w:t>
            </w:r>
          </w:p>
        </w:tc>
        <w:tc>
          <w:tcPr>
            <w:tcW w:type="dxa" w:w="4320"/>
          </w:tcPr>
          <w:p>
            <w:r>
              <w:t>US Dollars</w:t>
            </w:r>
          </w:p>
        </w:tc>
      </w:tr>
      <w:tr>
        <w:tc>
          <w:tcPr>
            <w:tcW w:type="dxa" w:w="4320"/>
          </w:tcPr>
          <w:p>
            <w:r>
              <w:rPr>
                <w:b/>
              </w:rPr>
              <w:t>Calculation Agent</w:t>
            </w:r>
          </w:p>
        </w:tc>
        <w:tc>
          <w:tcPr>
            <w:tcW w:type="dxa" w:w="4320"/>
          </w:tcPr>
          <w:p>
            <w:r>
              <w:t>Ardsley</w:t>
            </w:r>
          </w:p>
        </w:tc>
      </w:tr>
    </w:tbl>
    <w:p/>
    <w:p>
      <w:r>
        <w:t>Please confirm that the foregoing correctly sets forth the terms of our agreement by executing this Confirmation and returning it to us by email to inboundconfirms@ardsley-markets.example.</w:t>
      </w:r>
    </w:p>
    <w:p/>
    <w:p>
      <w:r>
        <w:t>Ardsley Global Markets, N.A.</w:t>
      </w:r>
    </w:p>
    <w:p>
      <w:r>
        <w:t>By: ___________________________</w:t>
      </w:r>
    </w:p>
    <w:p>
      <w:r>
        <w:t>Name: A. Whitcombe</w:t>
      </w:r>
    </w:p>
    <w:p>
      <w:r>
        <w:t>Title: Authorized Signatory</w:t>
      </w:r>
    </w:p>
    <w:p/>
    <w:p>
      <w:r>
        <w:t>Confirmed as of the date first above written:</w:t>
      </w:r>
    </w:p>
    <w:p>
      <w:r>
        <w:t>Blue Harbor Asset Management Ltd</w:t>
      </w:r>
    </w:p>
    <w:p>
      <w:r>
        <w:t>By: ___________________________</w:t>
      </w:r>
    </w:p>
    <w:p/>
    <w:p>
      <w:r>
        <w:t>SYNTHETIC TEST DOCUMENT - NOT A REAL TRADE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