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3"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taisx="http://lrs.lt/TAIS/DocPartXmlMarks" mc:Ignorable="w14 w15 w16se wp14">
  <w:body>
    <w:p w14:paraId="18C363C1" w14:textId="77777777">
      <w:pPr>
        <w:tabs>
          <w:tab w:val="center" w:pos="4819"/>
          <w:tab w:val="right" w:pos="9638"/>
        </w:tabs>
        <w:rPr>
          <w:rFonts w:ascii="Calibri" w:eastAsia="Calibri" w:hAnsi="Calibri"/>
          <w:sz w:val="22"/>
          <w:szCs w:val="22"/>
        </w:rPr>
      </w:pPr>
    </w:p>
    <w:p w14:paraId="4076C363" w14:textId="61F784AC">
      <w:pPr>
        <w:widowControl w:val="0"/>
        <w:tabs>
          <w:tab w:val="left" w:pos="1298"/>
        </w:tabs>
        <w:jc w:val="right"/>
        <w:rPr>
          <w:rFonts w:ascii="Arial" w:hAnsi="Arial" w:cs="Arial"/>
          <w:b/>
          <w:szCs w:val="24"/>
          <w:lang w:eastAsia="lt-LT"/>
        </w:rPr>
      </w:pPr>
      <w:r>
        <w:rPr>
          <w:rFonts w:ascii="Arial" w:hAnsi="Arial" w:cs="Arial"/>
          <w:b/>
          <w:szCs w:val="24"/>
          <w:lang w:eastAsia="lt-LT"/>
        </w:rPr>
        <w:t>Projektas</w:t>
      </w:r>
    </w:p>
    <w:p w14:paraId="0B6DF581" w14:textId="3C716B9F">
      <w:pPr>
        <w:widowControl w:val="0"/>
        <w:tabs>
          <w:tab w:val="left" w:pos="1298"/>
        </w:tabs>
        <w:jc w:val="right"/>
        <w:rPr>
          <w:rFonts w:ascii="Arial" w:hAnsi="Arial" w:cs="Arial"/>
          <w:szCs w:val="24"/>
          <w:lang w:eastAsia="lt-LT"/>
        </w:rPr>
      </w:pPr>
      <w:r>
        <w:rPr>
          <w:rFonts w:ascii="Arial" w:hAnsi="Arial" w:cs="Arial"/>
          <w:szCs w:val="24"/>
          <w:lang w:eastAsia="lt-LT"/>
        </w:rPr>
        <w:t>2024-11-15 Nr. TŽ-468</w:t>
      </w:r>
    </w:p>
    <w:p w14:paraId="727C2023" w14:textId="77777777">
      <w:pPr>
        <w:jc w:val="center"/>
        <w:rPr>
          <w:rFonts w:ascii="Arial" w:eastAsia="Calibri" w:hAnsi="Arial" w:cs="Arial"/>
          <w:sz w:val="22"/>
          <w:szCs w:val="22"/>
        </w:rPr>
      </w:pPr>
      <w:r>
        <w:rPr>
          <w:rFonts w:ascii="Arial" w:hAnsi="Arial" w:cs="Arial"/>
          <w:szCs w:val="24"/>
          <w:lang w:val="en-US"/>
        </w:rPr>
        <w:drawing>
          <wp:inline distT="0" distB="0" distL="0" distR="0" wp14:anchorId="4BE2D453" wp14:editId="57F84752">
            <wp:extent cx="438150" cy="49530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150" cy="495300"/>
                    </a:xfrm>
                    <a:prstGeom prst="rect">
                      <a:avLst/>
                    </a:prstGeom>
                    <a:noFill/>
                    <a:ln>
                      <a:noFill/>
                    </a:ln>
                  </pic:spPr>
                </pic:pic>
              </a:graphicData>
            </a:graphic>
          </wp:inline>
        </w:drawing>
      </w:r>
    </w:p>
    <w:p w14:paraId="1EE9CF8F" w14:textId="77777777">
      <w:pPr>
        <w:jc w:val="center"/>
        <w:rPr>
          <w:rFonts w:ascii="Arial" w:eastAsia="Calibri" w:hAnsi="Arial" w:cs="Arial"/>
          <w:szCs w:val="24"/>
        </w:rPr>
      </w:pPr>
    </w:p>
    <w:p w14:paraId="0ACC69B5" w14:textId="77777777">
      <w:pPr>
        <w:spacing w:line="276" w:lineRule="auto"/>
        <w:jc w:val="center"/>
        <w:rPr>
          <w:rFonts w:ascii="Arial" w:hAnsi="Arial" w:cs="Arial"/>
          <w:b/>
          <w:szCs w:val="24"/>
          <w:lang w:eastAsia="lt-LT"/>
        </w:rPr>
      </w:pPr>
      <w:r>
        <w:rPr>
          <w:rFonts w:ascii="Arial" w:hAnsi="Arial" w:cs="Arial"/>
          <w:b/>
          <w:szCs w:val="24"/>
          <w:lang w:eastAsia="lt-LT"/>
        </w:rPr>
        <w:t>ALYTAUS MIESTO SAVIVALDYBĖS TARYBA</w:t>
      </w:r>
    </w:p>
    <w:p w14:paraId="5F00068A" w14:textId="6FA9A3AE">
      <w:pPr>
        <w:spacing w:line="276" w:lineRule="auto"/>
        <w:jc w:val="center"/>
        <w:rPr>
          <w:rFonts w:ascii="Arial" w:hAnsi="Arial" w:cs="Arial"/>
          <w:b/>
          <w:szCs w:val="24"/>
          <w:lang w:eastAsia="lt-LT"/>
        </w:rPr>
      </w:pPr>
    </w:p>
    <w:p w14:paraId="59F94B50" w14:textId="77777777">
      <w:pPr>
        <w:spacing w:line="276" w:lineRule="auto"/>
        <w:jc w:val="center"/>
        <w:rPr>
          <w:rFonts w:ascii="Arial" w:hAnsi="Arial" w:cs="Arial"/>
          <w:b/>
          <w:szCs w:val="24"/>
          <w:lang w:eastAsia="lt-LT"/>
        </w:rPr>
      </w:pPr>
    </w:p>
    <w:p w14:paraId="26E11DDF" w14:textId="10FE266F">
      <w:pPr>
        <w:spacing w:line="276" w:lineRule="auto"/>
        <w:jc w:val="center"/>
        <w:rPr>
          <w:rFonts w:ascii="Arial" w:hAnsi="Arial" w:cs="Arial"/>
          <w:b/>
          <w:szCs w:val="24"/>
          <w:lang w:eastAsia="lt-LT"/>
        </w:rPr>
      </w:pPr>
      <w:r>
        <w:rPr>
          <w:rFonts w:ascii="Arial" w:hAnsi="Arial" w:cs="Arial"/>
          <w:b/>
          <w:szCs w:val="24"/>
          <w:lang w:eastAsia="lt-LT"/>
        </w:rPr>
        <w:t>SPRENDIMAS</w:t>
      </w:r>
    </w:p>
    <w:p w14:paraId="08A00352" w14:textId="3240EEA8">
      <w:pPr>
        <w:jc w:val="center"/>
        <w:rPr>
          <w:rFonts w:ascii="Arial" w:hAnsi="Arial" w:cs="Arial"/>
          <w:b/>
          <w:szCs w:val="24"/>
          <w:lang w:eastAsia="lt-LT"/>
        </w:rPr>
      </w:pPr>
      <w:r>
        <w:rPr>
          <w:rFonts w:ascii="Arial" w:hAnsi="Arial" w:cs="Arial"/>
          <w:b/>
          <w:szCs w:val="24"/>
          <w:lang w:eastAsia="lt-LT"/>
        </w:rPr>
        <w:t>DĖL ALYTAUS MIESTO SAVIVALDYBĖS LOPŠELIŲ-DARŽELIŲ IR MOKYKLŲ-DARŽELIŲ DARBO 2025 M. LIEPOS–RUGPJŪČIO MĖNESIAIS</w:t>
      </w:r>
    </w:p>
    <w:p w14:paraId="00106BA4" w14:textId="77777777">
      <w:pPr>
        <w:spacing w:line="276" w:lineRule="auto"/>
        <w:jc w:val="center"/>
        <w:rPr>
          <w:rFonts w:ascii="Arial" w:hAnsi="Arial" w:cs="Arial"/>
          <w:b/>
          <w:szCs w:val="24"/>
          <w:lang w:eastAsia="lt-LT"/>
        </w:rPr>
      </w:pPr>
    </w:p>
    <w:p w14:paraId="7DAC037A" w14:textId="478EDF06">
      <w:pPr>
        <w:spacing w:line="276" w:lineRule="auto"/>
        <w:jc w:val="center"/>
        <w:rPr>
          <w:rFonts w:ascii="Arial" w:hAnsi="Arial" w:cs="Arial"/>
          <w:szCs w:val="24"/>
          <w:lang w:eastAsia="lt-LT"/>
        </w:rPr>
      </w:pPr>
      <w:r>
        <w:rPr>
          <w:rFonts w:ascii="Arial" w:hAnsi="Arial" w:cs="Arial"/>
          <w:szCs w:val="24"/>
          <w:lang w:eastAsia="lt-LT"/>
        </w:rPr>
        <w:t>      Nr. T-</w:t>
      </w:r>
    </w:p>
    <w:p w14:paraId="4B0E6358" w14:textId="77777777">
      <w:pPr>
        <w:spacing w:line="276" w:lineRule="auto"/>
        <w:jc w:val="center"/>
        <w:rPr>
          <w:rFonts w:ascii="Arial" w:hAnsi="Arial" w:cs="Arial"/>
          <w:szCs w:val="24"/>
          <w:lang w:eastAsia="lt-LT"/>
        </w:rPr>
      </w:pPr>
      <w:r>
        <w:rPr>
          <w:rFonts w:ascii="Arial" w:hAnsi="Arial" w:cs="Arial"/>
          <w:szCs w:val="24"/>
          <w:lang w:eastAsia="lt-LT"/>
        </w:rPr>
        <w:t>Alytus</w:t>
      </w:r>
    </w:p>
    <w:p w14:paraId="020602E9" w14:textId="7EE07395">
      <w:pPr>
        <w:spacing w:line="276" w:lineRule="auto"/>
        <w:jc w:val="center"/>
        <w:rPr>
          <w:rFonts w:ascii="Arial" w:hAnsi="Arial" w:cs="Arial"/>
          <w:szCs w:val="24"/>
          <w:lang w:eastAsia="lt-LT"/>
        </w:rPr>
      </w:pPr>
    </w:p>
    <w:p w14:paraId="03BF15F1" w14:textId="77777777">
      <w:pPr>
        <w:spacing w:line="276" w:lineRule="auto"/>
        <w:jc w:val="center"/>
        <w:rPr>
          <w:rFonts w:ascii="Arial" w:hAnsi="Arial" w:cs="Arial"/>
          <w:szCs w:val="24"/>
          <w:lang w:eastAsia="lt-LT"/>
        </w:rPr>
      </w:pPr>
    </w:p>
    <w:p w14:paraId="3BAA5340" w14:textId="77777777">
      <w:pPr>
        <w:spacing w:line="276" w:lineRule="auto"/>
        <w:jc w:val="center"/>
        <w:rPr>
          <w:rFonts w:ascii="Arial" w:hAnsi="Arial" w:cs="Arial"/>
          <w:szCs w:val="24"/>
          <w:lang w:eastAsia="lt-LT"/>
        </w:rPr>
      </w:pPr>
    </w:p>
    <w:p w14:paraId="39FA2A1E" w14:textId="2F04D5F9">
      <w:pPr>
        <w:ind w:firstLine="1296"/>
        <w:jc w:val="both"/>
        <w:rPr>
          <w:rFonts w:ascii="Arial" w:eastAsia="Calibri" w:hAnsi="Arial" w:cs="Arial"/>
          <w:szCs w:val="24"/>
        </w:rPr>
      </w:pPr>
      <w:r>
        <w:rPr>
          <w:rFonts w:ascii="Arial" w:eastAsia="Calibri" w:hAnsi="Arial" w:cs="Arial"/>
          <w:szCs w:val="24"/>
        </w:rPr>
        <w:t xml:space="preserve">Vadovaudamasi Lietuvos Respublikos vietos savivaldos įstatymo 6 straipsnio 8 punktu ir Švietimo įstatymo 58 straipsnio 1 dalies 3 punktu, Alytaus miesto savivaldybės tarybos 2023 m. birželio 22 d. Nr. T-153 sprendimo „Dėl 2023–2029 m. Alytaus miesto tvarios plėtros strategijos patvirtinimo“ 1 punktu patvirtintos Alytaus miesto tvarios plėtros strategijos priedo 2023–2029 m. Alytaus miesto tvarios plėtros strategijos įgyvendinimo veiksmų plano 1.1.3 papunkčiu ir atsižvelgdama į planuojamus einamuosius ikimokyklinio ugdymo įstaigų vidaus patalpų remonto darbus, Alytaus miesto savivaldybės taryba </w:t>
      </w:r>
      <w:r>
        <w:rPr>
          <w:rFonts w:ascii="Arial" w:eastAsia="Calibri" w:hAnsi="Arial" w:cs="Arial"/>
          <w:spacing w:val="20"/>
          <w:szCs w:val="24"/>
        </w:rPr>
        <w:t>nusprendžia:</w:t>
      </w:r>
    </w:p>
    <w:p w14:paraId="4D2E889B" w14:textId="042AB82E">
      <w:pPr>
        <w:ind w:firstLine="1296"/>
        <w:jc w:val="both"/>
        <w:rPr>
          <w:rFonts w:ascii="Arial" w:eastAsia="Calibri" w:hAnsi="Arial" w:cs="Arial"/>
          <w:szCs w:val="24"/>
        </w:rPr>
      </w:pPr>
      <w:r>
        <w:rPr>
          <w:rFonts w:ascii="Arial" w:eastAsia="Calibri" w:hAnsi="Arial" w:cs="Arial"/>
          <w:szCs w:val="24"/>
        </w:rPr>
        <w:t>1</w:t>
      </w:r>
      <w:r>
        <w:rPr>
          <w:rFonts w:ascii="Arial" w:eastAsia="Calibri" w:hAnsi="Arial" w:cs="Arial"/>
          <w:szCs w:val="24"/>
        </w:rPr>
        <w:t>. Leisti Alytaus miesto savivaldybės lopšeliams-darželiams „Pušynėlis“, „Saulutė“, „Du gaideliai“, „Šaltinėlis“, „Vyturėlis“, „Putinėlis“, „Volungėlė“, Alytaus lopšelio-darželio „Du gaideliai“ skyriui „Linelis“, Alytaus Piliakalnio progimnazijos skyriui „Nykštukas“, Alytaus Vidzgirio mokyklos „Drevinuko“ skyriui nuo 2025 m. liepos 1 d. iki 2025 m. rugpjūčio 22 d. įskaitytinai nevykdyti ikimokyklinio ir priešmokyklinio ugdymo programų jų patalpose.</w:t>
      </w:r>
    </w:p>
    <w:p w14:paraId="0D3B75A2" w14:textId="77777777">
      <w:pPr>
        <w:ind w:firstLine="1296"/>
        <w:jc w:val="both"/>
        <w:rPr>
          <w:rFonts w:ascii="Arial" w:eastAsia="Calibri" w:hAnsi="Arial" w:cs="Arial"/>
          <w:szCs w:val="24"/>
        </w:rPr>
      </w:pPr>
      <w:r>
        <w:rPr>
          <w:rFonts w:ascii="Arial" w:eastAsia="Calibri" w:hAnsi="Arial" w:cs="Arial"/>
          <w:szCs w:val="24"/>
        </w:rPr>
        <w:t>2</w:t>
      </w:r>
      <w:r>
        <w:rPr>
          <w:rFonts w:ascii="Arial" w:eastAsia="Calibri" w:hAnsi="Arial" w:cs="Arial"/>
          <w:szCs w:val="24"/>
        </w:rPr>
        <w:t>. Leisti vykdyti ikimokyklinio ir priešmokyklinio amžiaus mokinių priežiūros veiklą šiose budinčiose ikimokyklinio ugdymo įstaigose:</w:t>
      </w:r>
    </w:p>
    <w:p w14:paraId="3D1C7ABA" w14:textId="77777777">
      <w:pPr>
        <w:ind w:firstLine="1296"/>
        <w:jc w:val="both"/>
        <w:rPr>
          <w:rFonts w:ascii="Arial" w:eastAsia="Calibri" w:hAnsi="Arial" w:cs="Arial"/>
          <w:szCs w:val="24"/>
        </w:rPr>
      </w:pPr>
      <w:r>
        <w:rPr>
          <w:rFonts w:ascii="Arial" w:eastAsia="Calibri" w:hAnsi="Arial" w:cs="Arial"/>
          <w:szCs w:val="24"/>
        </w:rPr>
        <w:t>2.1</w:t>
      </w:r>
      <w:r>
        <w:rPr>
          <w:rFonts w:ascii="Arial" w:eastAsia="Calibri" w:hAnsi="Arial" w:cs="Arial"/>
          <w:szCs w:val="24"/>
        </w:rPr>
        <w:t>. Alytaus lopšelyje-darželyje „Pasaka“;</w:t>
      </w:r>
    </w:p>
    <w:p w14:paraId="089D183A" w14:textId="77777777">
      <w:pPr>
        <w:ind w:firstLine="1296"/>
        <w:jc w:val="both"/>
        <w:rPr>
          <w:rFonts w:ascii="Arial" w:eastAsia="Calibri" w:hAnsi="Arial" w:cs="Arial"/>
          <w:szCs w:val="24"/>
        </w:rPr>
      </w:pPr>
      <w:r>
        <w:rPr>
          <w:rFonts w:ascii="Arial" w:eastAsia="Calibri" w:hAnsi="Arial" w:cs="Arial"/>
          <w:szCs w:val="24"/>
        </w:rPr>
        <w:t>2.2</w:t>
      </w:r>
      <w:r>
        <w:rPr>
          <w:rFonts w:ascii="Arial" w:eastAsia="Calibri" w:hAnsi="Arial" w:cs="Arial"/>
          <w:szCs w:val="24"/>
        </w:rPr>
        <w:t>. Alytaus lopšelyje-darželyje „Obelėlė“;</w:t>
      </w:r>
    </w:p>
    <w:p w14:paraId="0DB716B4" w14:textId="77777777">
      <w:pPr>
        <w:ind w:firstLine="1296"/>
        <w:jc w:val="both"/>
        <w:rPr>
          <w:rFonts w:ascii="Arial" w:eastAsia="Calibri" w:hAnsi="Arial" w:cs="Arial"/>
          <w:szCs w:val="24"/>
        </w:rPr>
      </w:pPr>
      <w:r>
        <w:rPr>
          <w:rFonts w:ascii="Arial" w:eastAsia="Calibri" w:hAnsi="Arial" w:cs="Arial"/>
          <w:szCs w:val="24"/>
        </w:rPr>
        <w:t>2.3</w:t>
      </w:r>
      <w:r>
        <w:rPr>
          <w:rFonts w:ascii="Arial" w:eastAsia="Calibri" w:hAnsi="Arial" w:cs="Arial"/>
          <w:szCs w:val="24"/>
        </w:rPr>
        <w:t>. Alytaus lopšelyje-darželyje „Girinukas“;</w:t>
      </w:r>
    </w:p>
    <w:p w14:paraId="43EEC29E" w14:textId="77777777">
      <w:pPr>
        <w:ind w:firstLine="1296"/>
        <w:jc w:val="both"/>
        <w:rPr>
          <w:rFonts w:ascii="Arial" w:eastAsia="Calibri" w:hAnsi="Arial" w:cs="Arial"/>
          <w:szCs w:val="24"/>
        </w:rPr>
      </w:pPr>
      <w:r>
        <w:rPr>
          <w:rFonts w:ascii="Arial" w:eastAsia="Calibri" w:hAnsi="Arial" w:cs="Arial"/>
          <w:szCs w:val="24"/>
        </w:rPr>
        <w:t>2.4</w:t>
      </w:r>
      <w:r>
        <w:rPr>
          <w:rFonts w:ascii="Arial" w:eastAsia="Calibri" w:hAnsi="Arial" w:cs="Arial"/>
          <w:szCs w:val="24"/>
        </w:rPr>
        <w:t xml:space="preserve">. Alytaus Likiškėlių progimnazijos skyriuje „Boružėlė“; </w:t>
      </w:r>
    </w:p>
    <w:p w14:paraId="39AD0F53" w14:textId="77777777">
      <w:pPr>
        <w:ind w:firstLine="1296"/>
        <w:jc w:val="both"/>
        <w:rPr>
          <w:rFonts w:ascii="Arial" w:eastAsia="Calibri" w:hAnsi="Arial" w:cs="Arial"/>
          <w:szCs w:val="24"/>
        </w:rPr>
      </w:pPr>
      <w:r>
        <w:rPr>
          <w:rFonts w:ascii="Arial" w:eastAsia="Calibri" w:hAnsi="Arial" w:cs="Arial"/>
          <w:szCs w:val="24"/>
        </w:rPr>
        <w:t>2.5</w:t>
      </w:r>
      <w:r>
        <w:rPr>
          <w:rFonts w:ascii="Arial" w:eastAsia="Calibri" w:hAnsi="Arial" w:cs="Arial"/>
          <w:szCs w:val="24"/>
        </w:rPr>
        <w:t>. Alytaus „Vilties“ mokykloje-darželyje.</w:t>
      </w:r>
    </w:p>
    <w:p w14:paraId="3F31BA85" w14:textId="6E84285D">
      <w:pPr>
        <w:ind w:firstLine="1296"/>
        <w:jc w:val="both"/>
        <w:rPr>
          <w:rFonts w:ascii="Arial" w:eastAsia="Calibri" w:hAnsi="Arial" w:cs="Arial"/>
          <w:szCs w:val="24"/>
        </w:rPr>
      </w:pPr>
      <w:r>
        <w:rPr>
          <w:rFonts w:ascii="Arial" w:eastAsia="Calibri" w:hAnsi="Arial" w:cs="Arial"/>
          <w:szCs w:val="24"/>
        </w:rPr>
        <w:t>3</w:t>
      </w:r>
      <w:r>
        <w:rPr>
          <w:rFonts w:ascii="Arial" w:eastAsia="Calibri" w:hAnsi="Arial" w:cs="Arial"/>
          <w:szCs w:val="24"/>
        </w:rPr>
        <w:t>. Leisti vykdyti ikimokyklinio ir priešmokyklinio amžiaus mokinių priežiūros veiklą nuo 2025 m. liepos 1 d. iki rugpjūčio 22 d. 1 punkte nurodytoms įstaigoms šiose įstaigose:</w:t>
      </w:r>
    </w:p>
    <w:p w14:paraId="71CD5236" w14:textId="77777777">
      <w:pPr>
        <w:ind w:firstLine="1296"/>
        <w:jc w:val="both"/>
        <w:rPr>
          <w:rFonts w:ascii="Arial" w:eastAsia="Calibri" w:hAnsi="Arial" w:cs="Arial"/>
          <w:szCs w:val="24"/>
        </w:rPr>
      </w:pPr>
      <w:r>
        <w:rPr>
          <w:rFonts w:ascii="Arial" w:eastAsia="Calibri" w:hAnsi="Arial" w:cs="Arial"/>
          <w:szCs w:val="24"/>
        </w:rPr>
        <w:t>3.1</w:t>
      </w:r>
      <w:r>
        <w:rPr>
          <w:rFonts w:ascii="Arial" w:eastAsia="Calibri" w:hAnsi="Arial" w:cs="Arial"/>
          <w:szCs w:val="24"/>
        </w:rPr>
        <w:t xml:space="preserve">. Alytaus lopšelyje-darželyje „Pasaka“ ir leisti jį lankyti Alytaus lopšelius-darželius „Pasaka“, „Saulutė“ lankantiems ikimokyklinio ir priešmokyklinio amžiaus mokiniams ir Putinų mikrorajono lopšelius-darželius lankantiems mokiniams, kurie nepateks į Alytaus lopšelį-darželį „Obelėlė“;  </w:t>
      </w:r>
    </w:p>
    <w:p w14:paraId="6CD7CFE9" w14:textId="77777777">
      <w:pPr>
        <w:ind w:firstLine="1296"/>
        <w:jc w:val="both"/>
        <w:rPr>
          <w:rFonts w:ascii="Arial" w:eastAsia="Calibri" w:hAnsi="Arial" w:cs="Arial"/>
          <w:szCs w:val="24"/>
        </w:rPr>
      </w:pPr>
      <w:r>
        <w:rPr>
          <w:rFonts w:ascii="Arial" w:eastAsia="Calibri" w:hAnsi="Arial" w:cs="Arial"/>
          <w:szCs w:val="24"/>
        </w:rPr>
        <w:t>3.2</w:t>
      </w:r>
      <w:r>
        <w:rPr>
          <w:rFonts w:ascii="Arial" w:eastAsia="Calibri" w:hAnsi="Arial" w:cs="Arial"/>
          <w:szCs w:val="24"/>
        </w:rPr>
        <w:t>. Alytaus lopšelyje-darželyje „Obelėlė“ ir leisti jį lankyti Alytaus lopšelius-darželius „Obelėlė“, „Šaltinėlis“, „Vyturėlis“ ir „Putinėlis“ lankantiems ikimokyklinio ir priešmokyklinio amžiaus mokiniams;</w:t>
      </w:r>
    </w:p>
    <w:p w14:paraId="2E5005DF" w14:textId="77777777">
      <w:pPr>
        <w:ind w:firstLine="1296"/>
        <w:jc w:val="both"/>
        <w:rPr>
          <w:rFonts w:ascii="Arial" w:eastAsia="Calibri" w:hAnsi="Arial" w:cs="Arial"/>
          <w:szCs w:val="24"/>
        </w:rPr>
      </w:pPr>
      <w:r>
        <w:rPr>
          <w:rFonts w:ascii="Arial" w:eastAsia="Calibri" w:hAnsi="Arial" w:cs="Arial"/>
          <w:szCs w:val="24"/>
        </w:rPr>
        <w:t>3.3</w:t>
      </w:r>
      <w:r>
        <w:rPr>
          <w:rFonts w:ascii="Arial" w:eastAsia="Calibri" w:hAnsi="Arial" w:cs="Arial"/>
          <w:szCs w:val="24"/>
        </w:rPr>
        <w:t>. Alytaus lopšelyje-darželyje „Girinukas“ ir leisti jį lankyti Alytaus lopšelius-darželius „Girinukas“ „Pušynėlis“ ir Alytaus Piliakalnio progimnazijos skyrių „Nykštukas“ lankantiems ikimokyklinio ir priešmokyklinio amžiaus mokiniams;</w:t>
      </w:r>
    </w:p>
    <w:p w14:paraId="4EFE08F6" w14:textId="77777777">
      <w:pPr>
        <w:ind w:firstLine="1296"/>
        <w:jc w:val="both"/>
        <w:rPr>
          <w:rFonts w:ascii="Arial" w:eastAsia="Calibri" w:hAnsi="Arial" w:cs="Arial"/>
          <w:szCs w:val="24"/>
        </w:rPr>
      </w:pPr>
      <w:r>
        <w:rPr>
          <w:rFonts w:ascii="Arial" w:eastAsia="Calibri" w:hAnsi="Arial" w:cs="Arial"/>
          <w:szCs w:val="24"/>
        </w:rPr>
        <w:t>3.4</w:t>
      </w:r>
      <w:r>
        <w:rPr>
          <w:rFonts w:ascii="Arial" w:eastAsia="Calibri" w:hAnsi="Arial" w:cs="Arial"/>
          <w:szCs w:val="24"/>
        </w:rPr>
        <w:t xml:space="preserve">. Alytaus Likiškėlių progimnazijos skyriuje „Boružėlė“ ir leisti jį lankyti Alytaus lopšelius-darželius „Du gaideliai“, „Volungėlė“, Alytaus lopšelio-darželio „Du gaideliai“ skyrių „Linelis“ ir Likiškėlių progimnazijos skyrių „Boružėlė“ lankantiems ikimokyklinio ir priešmokyklinio amžiaus mokiniams; </w:t>
      </w:r>
    </w:p>
    <w:p w14:paraId="02AAB41E" w14:textId="18E7D019">
      <w:pPr>
        <w:ind w:firstLine="1296"/>
        <w:jc w:val="both"/>
        <w:rPr>
          <w:rFonts w:ascii="Arial" w:eastAsia="Calibri" w:hAnsi="Arial" w:cs="Arial"/>
          <w:szCs w:val="24"/>
        </w:rPr>
      </w:pPr>
      <w:r>
        <w:rPr>
          <w:rFonts w:ascii="Arial" w:eastAsia="Calibri" w:hAnsi="Arial" w:cs="Arial"/>
          <w:szCs w:val="24"/>
        </w:rPr>
        <w:t>3.5</w:t>
      </w:r>
      <w:r>
        <w:rPr>
          <w:rFonts w:ascii="Arial" w:eastAsia="Calibri" w:hAnsi="Arial" w:cs="Arial"/>
          <w:szCs w:val="24"/>
        </w:rPr>
        <w:t xml:space="preserve">. Alytaus „Vilties“ mokykloje-darželyje ir leisti ją lankyti „Vilties“ mokyklą-darželį, Alytaus Vidzgirio mokyklos „Drevinuko“ skyrių lankantiems ikimokyklinio ir priešmokyklinio amžiaus mokiniams ir Vidzgirio mikrorajono lopšelius-darželius lankantiems mokiniams, kurie nepateks į Likiškėlių progimnazijos skyrių „Boružėlė“. </w:t>
      </w:r>
    </w:p>
    <w:p w14:paraId="69CC81D7" w14:textId="77777777">
      <w:pPr>
        <w:ind w:firstLine="1298"/>
        <w:jc w:val="both"/>
        <w:rPr>
          <w:rFonts w:ascii="Arial" w:hAnsi="Arial" w:cs="Arial"/>
          <w:lang w:eastAsia="lt-LT"/>
        </w:rPr>
      </w:pPr>
      <w:r>
        <w:rPr>
          <w:rFonts w:ascii="Arial" w:hAnsi="Arial" w:cs="Arial"/>
          <w:lang w:eastAsia="lt-LT"/>
        </w:rPr>
        <w:t>Šis sprendimas gali būti skundžiamas Lietuvos Respublikos administracinių bylų teisenos įstatymo nustatyta tvarka.</w:t>
      </w:r>
    </w:p>
    <w:p w14:paraId="4076C380" w14:textId="77777777">
      <w:pPr>
        <w:ind w:firstLine="1296"/>
        <w:jc w:val="both"/>
        <w:rPr>
          <w:rFonts w:ascii="Arial" w:hAnsi="Arial" w:cs="Arial"/>
          <w:szCs w:val="24"/>
        </w:rPr>
      </w:pPr>
    </w:p>
    <w:p w14:paraId="4076C381" w14:textId="24A5F51A">
      <w:pPr>
        <w:ind w:firstLine="1296"/>
        <w:jc w:val="both"/>
        <w:rPr>
          <w:rFonts w:ascii="Arial" w:hAnsi="Arial" w:cs="Arial"/>
          <w:szCs w:val="24"/>
        </w:rPr>
      </w:pPr>
    </w:p>
    <w:p w14:paraId="0DB8B99E" w14:textId="77777777">
      <w:pPr>
        <w:ind w:firstLine="1296"/>
        <w:jc w:val="both"/>
        <w:rPr>
          <w:rFonts w:ascii="Arial" w:hAnsi="Arial" w:cs="Arial"/>
          <w:szCs w:val="24"/>
        </w:rPr>
      </w:pPr>
    </w:p>
    <w:p w14:paraId="4076C382" w14:textId="5C9E04F8">
      <w:pPr>
        <w:jc w:val="both"/>
        <w:rPr>
          <w:rFonts w:ascii="Arial" w:hAnsi="Arial" w:cs="Arial"/>
          <w:szCs w:val="24"/>
          <w:lang w:eastAsia="lt-LT"/>
        </w:rPr>
      </w:pPr>
      <w:r>
        <w:rPr>
          <w:rFonts w:ascii="Arial" w:hAnsi="Arial" w:cs="Arial"/>
          <w:szCs w:val="24"/>
          <w:lang w:eastAsia="lt-LT"/>
        </w:rPr>
        <w:t>Savivaldybės meras</w:t>
        <w:tab/>
        <w:tab/>
        <w:tab/>
      </w:r>
    </w:p>
    <w:p w14:paraId="4076C383" w14:textId="77777777">
      <w:pPr>
        <w:rPr>
          <w:rFonts w:ascii="Arial" w:hAnsi="Arial" w:cs="Arial"/>
          <w:szCs w:val="24"/>
          <w:lang w:eastAsia="lt-LT"/>
        </w:rPr>
      </w:pPr>
      <w:r>
        <w:rPr>
          <w:rFonts w:ascii="Arial" w:hAnsi="Arial" w:cs="Arial"/>
          <w:szCs w:val="24"/>
          <w:lang w:eastAsia="lt-LT"/>
        </w:rPr>
        <w:br w:type="page"/>
      </w:r>
    </w:p>
    <w:p w14:paraId="4076C390" w14:textId="77777777">
      <w:pPr>
        <w:jc w:val="center"/>
        <w:rPr>
          <w:rFonts w:ascii="Arial" w:hAnsi="Arial" w:cs="Arial"/>
          <w:szCs w:val="24"/>
          <w:lang w:eastAsia="lt-LT"/>
        </w:rPr>
      </w:pPr>
    </w:p>
    <w:p w14:paraId="3711896C" w14:textId="552CCBDA">
      <w:pPr>
        <w:rPr>
          <w:rFonts w:ascii="Arial" w:hAnsi="Arial" w:cs="Arial"/>
          <w:szCs w:val="24"/>
          <w:lang w:eastAsia="lt-LT"/>
        </w:rPr>
      </w:pPr>
      <w:r>
        <w:rPr>
          <w:rFonts w:ascii="Arial" w:hAnsi="Arial" w:cs="Arial"/>
          <w:szCs w:val="24"/>
          <w:lang w:eastAsia="lt-LT"/>
        </w:rPr>
        <w:t>Alytaus miesto savivaldybės tarybai</w:t>
      </w:r>
    </w:p>
    <w:p w14:paraId="3295544B" w14:textId="77777777">
      <w:pPr>
        <w:rPr>
          <w:rFonts w:ascii="Arial" w:hAnsi="Arial" w:cs="Arial"/>
          <w:szCs w:val="24"/>
          <w:lang w:eastAsia="lt-LT"/>
        </w:rPr>
      </w:pPr>
    </w:p>
    <w:p w14:paraId="0C82BE5A" w14:textId="77777777">
      <w:pPr>
        <w:ind w:left="-113"/>
        <w:jc w:val="center"/>
        <w:rPr>
          <w:rFonts w:ascii="Arial" w:hAnsi="Arial" w:cs="Arial"/>
          <w:b/>
          <w:szCs w:val="24"/>
          <w:lang w:eastAsia="lt-LT"/>
        </w:rPr>
      </w:pPr>
      <w:r>
        <w:rPr>
          <w:rFonts w:ascii="Arial" w:hAnsi="Arial" w:cs="Arial"/>
          <w:b/>
          <w:szCs w:val="24"/>
          <w:lang w:eastAsia="lt-LT"/>
        </w:rPr>
        <w:t>SPRENDIMO</w:t>
      </w:r>
    </w:p>
    <w:p w14:paraId="25CFA2E1" w14:textId="0ECD30B4">
      <w:pPr>
        <w:jc w:val="center"/>
        <w:rPr>
          <w:rFonts w:ascii="Arial" w:hAnsi="Arial" w:cs="Arial"/>
          <w:b/>
          <w:szCs w:val="24"/>
          <w:lang w:eastAsia="lt-LT"/>
        </w:rPr>
      </w:pPr>
      <w:r>
        <w:rPr>
          <w:rFonts w:ascii="Arial" w:hAnsi="Arial" w:cs="Arial"/>
          <w:b/>
          <w:szCs w:val="24"/>
          <w:lang w:eastAsia="lt-LT"/>
        </w:rPr>
        <w:t>„DĖL ALYTAUS MIESTO SAVIVALDYBĖS LOPŠELIŲ-DARŽELIŲ IR MOKYKLŲ-DARŽELIŲ DARBO 2025 M. LIEPOS–RUGPJŪČIO MĖNESIAIS“</w:t>
      </w:r>
    </w:p>
    <w:p w14:paraId="75D24744" w14:textId="1F04E3A2">
      <w:pPr>
        <w:jc w:val="center"/>
        <w:rPr>
          <w:rFonts w:ascii="Arial" w:hAnsi="Arial" w:cs="Arial"/>
          <w:b/>
          <w:szCs w:val="24"/>
          <w:lang w:eastAsia="lt-LT"/>
        </w:rPr>
      </w:pPr>
      <w:r>
        <w:rPr>
          <w:rFonts w:ascii="Arial" w:hAnsi="Arial" w:cs="Arial"/>
          <w:b/>
          <w:szCs w:val="24"/>
          <w:lang w:eastAsia="lt-LT"/>
        </w:rPr>
        <w:t>PROJEKTO AIŠKINAMASIS RAŠTAS</w:t>
      </w:r>
    </w:p>
    <w:p w14:paraId="6C059E4B" w14:textId="77777777">
      <w:pPr>
        <w:jc w:val="center"/>
        <w:rPr>
          <w:rFonts w:ascii="Arial" w:hAnsi="Arial" w:cs="Arial"/>
          <w:b/>
          <w:szCs w:val="24"/>
          <w:lang w:eastAsia="lt-LT"/>
        </w:rPr>
      </w:pPr>
    </w:p>
    <w:p w14:paraId="646DE012" w14:textId="7D9363D2">
      <w:pPr>
        <w:jc w:val="center"/>
        <w:rPr>
          <w:rFonts w:ascii="Arial" w:hAnsi="Arial" w:cs="Arial"/>
          <w:szCs w:val="24"/>
          <w:lang w:eastAsia="lt-LT"/>
        </w:rPr>
      </w:pPr>
      <w:r>
        <w:rPr>
          <w:rFonts w:ascii="Calibri" w:eastAsia="Calibri" w:hAnsi="Calibri"/>
          <w:sz w:val="22"/>
          <w:szCs w:val="22"/>
        </w:rPr>
        <w:t>2024-11-15</w:t>
      </w:r>
    </w:p>
    <w:p w14:paraId="3102FC0F" w14:textId="77777777">
      <w:pPr>
        <w:jc w:val="center"/>
        <w:rPr>
          <w:rFonts w:ascii="Arial" w:hAnsi="Arial" w:cs="Arial"/>
          <w:szCs w:val="24"/>
          <w:vertAlign w:val="superscript"/>
          <w:lang w:eastAsia="lt-LT"/>
        </w:rPr>
      </w:pPr>
      <w:r>
        <w:rPr>
          <w:rFonts w:ascii="Arial" w:hAnsi="Arial" w:cs="Arial"/>
          <w:szCs w:val="24"/>
          <w:vertAlign w:val="superscript"/>
          <w:lang w:eastAsia="lt-LT"/>
        </w:rPr>
        <w:t>(data)</w:t>
      </w:r>
    </w:p>
    <w:p w14:paraId="54D4BD3E" w14:textId="77777777">
      <w:pPr>
        <w:jc w:val="center"/>
        <w:rPr>
          <w:rFonts w:ascii="Arial" w:hAnsi="Arial" w:cs="Arial"/>
          <w:szCs w:val="24"/>
          <w:lang w:eastAsia="lt-LT"/>
        </w:rPr>
      </w:pPr>
      <w:r>
        <w:rPr>
          <w:rFonts w:ascii="Arial" w:hAnsi="Arial" w:cs="Arial"/>
          <w:szCs w:val="24"/>
          <w:lang w:eastAsia="lt-LT"/>
        </w:rPr>
        <w:t>Alytus</w:t>
      </w:r>
    </w:p>
    <w:p w14:paraId="4076C3A2" w14:textId="77777777">
      <w:pPr>
        <w:rPr>
          <w:rFonts w:ascii="Arial" w:hAnsi="Arial" w:cs="Arial"/>
          <w:szCs w:val="24"/>
          <w:lang w:eastAsia="lt-LT"/>
        </w:rPr>
      </w:pPr>
    </w:p>
    <w:p w14:paraId="530FBBA9" w14:textId="77777777">
      <w:pPr>
        <w:ind w:firstLine="1296"/>
        <w:jc w:val="both"/>
        <w:rPr>
          <w:rFonts w:ascii="Arial" w:eastAsia="Calibri" w:hAnsi="Arial" w:cs="Arial"/>
          <w:szCs w:val="24"/>
        </w:rPr>
      </w:pPr>
      <w:r>
        <w:rPr>
          <w:rFonts w:ascii="Arial" w:eastAsia="Calibri" w:hAnsi="Arial" w:cs="Arial"/>
          <w:szCs w:val="24"/>
        </w:rPr>
        <w:t xml:space="preserve">Vadovaudamiesi Lietuvos Respublikos vietos savivaldos įstatymo 6 straipsnio 8 punktu ir Švietimo įstatymo 58 straipsnio 1 dalies 3 punktu, Alytaus miesto savivaldybės tarybos 2023 m. birželio 22 d. Nr. T-153 sprendimo „Dėl 2023–2029 m. Alytaus miesto tvarios plėtros strategijos patvirtinimo“ 1 punktu patvirtintos Alytaus miesto tvarios plėtros strategijos 2 priedo 2023–2029 m. Alytaus miesto tvarios plėtros strategijos įgyvendinimo veiksmų plano 1.1.3 papunkčiu ir atsižvelgdami į planuojamus einamuosius ikimokyklinio ugdymo įstaigų vidaus patalpų remonto darbus, </w:t>
      </w:r>
      <w:r>
        <w:rPr>
          <w:rFonts w:ascii="Arial" w:hAnsi="Arial" w:cs="Arial"/>
          <w:szCs w:val="24"/>
          <w:lang w:eastAsia="lt-LT"/>
        </w:rPr>
        <w:t>siūlome l</w:t>
      </w:r>
      <w:r>
        <w:rPr>
          <w:rFonts w:ascii="Arial" w:eastAsia="Calibri" w:hAnsi="Arial" w:cs="Arial"/>
          <w:szCs w:val="24"/>
        </w:rPr>
        <w:t xml:space="preserve">eisti  Alytaus miesto savivaldybės lopšeliams-darželiams „Pušynėlis“, „Saulutė“, „Du gaideliai“, „Šaltinėlis“, „Vyturėlis“, „Putinėlis“, „Volungėlė“, Alytaus lopšelio-darželio „Du gaideliai“ skyriui „Linelis“, Alytaus Piliakalnio progimnazijos skyriui „Nykštukas“, Alytaus Vidzgirio mokyklos „Drevinuko“ skyriui nuo 2025 m. liepos 1 d. iki 2025 m. rugpjūčio 22 d. įskaitytinai nevykdyti ikimokyklinio ir priešmokyklinio ugdymo programų jų patalpose.</w:t>
      </w:r>
    </w:p>
    <w:p w14:paraId="6A5FAD91" w14:textId="6C109422">
      <w:pPr>
        <w:ind w:firstLine="1296"/>
        <w:jc w:val="both"/>
        <w:rPr>
          <w:rFonts w:ascii="Arial" w:eastAsia="Calibri" w:hAnsi="Arial" w:cs="Arial"/>
          <w:szCs w:val="24"/>
        </w:rPr>
      </w:pPr>
      <w:r>
        <w:rPr>
          <w:rFonts w:ascii="Arial" w:eastAsia="Calibri" w:hAnsi="Arial" w:cs="Arial"/>
          <w:szCs w:val="24"/>
        </w:rPr>
        <w:t>Uždarius anksčiau paminėtas įstaigas, nuo 2025 m. liepos 1 d. iki 2025 m. rugpjūčio 22 d. prašome leisti vykdyti ikimokyklinio amžiaus mokinių priežiūros veiklą šiose įstaigose:</w:t>
      </w:r>
    </w:p>
    <w:p w14:paraId="73928CE8" w14:textId="77777777">
      <w:pPr>
        <w:ind w:firstLine="1296"/>
        <w:jc w:val="both"/>
        <w:rPr>
          <w:rFonts w:ascii="Arial" w:eastAsia="Calibri" w:hAnsi="Arial" w:cs="Arial"/>
          <w:szCs w:val="24"/>
        </w:rPr>
      </w:pPr>
      <w:r>
        <w:rPr>
          <w:rFonts w:ascii="Arial" w:eastAsia="Calibri" w:hAnsi="Arial" w:cs="Arial"/>
          <w:szCs w:val="24"/>
        </w:rPr>
        <w:t>1</w:t>
      </w:r>
      <w:r>
        <w:rPr>
          <w:rFonts w:ascii="Arial" w:eastAsia="Calibri" w:hAnsi="Arial" w:cs="Arial"/>
          <w:szCs w:val="24"/>
        </w:rPr>
        <w:t xml:space="preserve">. Alytaus lopšelyje-darželyje „Pasaka“ ir leisti jį lankyti Alytaus lopšelius-darželius „Pasaka“, „Saulutė“ lankantiems ikimokyklinio ir priešmokyklinio amžiaus mokiniams ir Putinų mikrorajono lopšelius-darželius lankantiems mokiniams, kurie nepateks į Alytaus lopšelį-darželį „Obelėlė“;  </w:t>
      </w:r>
    </w:p>
    <w:p w14:paraId="58349C70" w14:textId="77777777">
      <w:pPr>
        <w:ind w:firstLine="1296"/>
        <w:jc w:val="both"/>
        <w:rPr>
          <w:rFonts w:ascii="Arial" w:eastAsia="Calibri" w:hAnsi="Arial" w:cs="Arial"/>
          <w:szCs w:val="24"/>
        </w:rPr>
      </w:pPr>
      <w:r>
        <w:rPr>
          <w:rFonts w:ascii="Arial" w:eastAsia="Calibri" w:hAnsi="Arial" w:cs="Arial"/>
          <w:szCs w:val="24"/>
        </w:rPr>
        <w:t>2</w:t>
      </w:r>
      <w:r>
        <w:rPr>
          <w:rFonts w:ascii="Arial" w:eastAsia="Calibri" w:hAnsi="Arial" w:cs="Arial"/>
          <w:szCs w:val="24"/>
        </w:rPr>
        <w:t>. Alytaus lopšelyje-darželyje „Obelėlė“ ir leisti jį lankyti Alytaus lopšelius-darželius „Obelėlė“, „Šaltinėlis“, „Vyturėlis“ ir „Putinėlis“ lankantiems ikimokyklinio ir priešmokyklinio amžiaus mokiniams;</w:t>
      </w:r>
    </w:p>
    <w:p w14:paraId="75624DC6" w14:textId="77777777">
      <w:pPr>
        <w:ind w:firstLine="1296"/>
        <w:jc w:val="both"/>
        <w:rPr>
          <w:rFonts w:ascii="Arial" w:eastAsia="Calibri" w:hAnsi="Arial" w:cs="Arial"/>
          <w:szCs w:val="24"/>
        </w:rPr>
      </w:pPr>
      <w:r>
        <w:rPr>
          <w:rFonts w:ascii="Arial" w:eastAsia="Calibri" w:hAnsi="Arial" w:cs="Arial"/>
          <w:szCs w:val="24"/>
        </w:rPr>
        <w:t>3</w:t>
      </w:r>
      <w:r>
        <w:rPr>
          <w:rFonts w:ascii="Arial" w:eastAsia="Calibri" w:hAnsi="Arial" w:cs="Arial"/>
          <w:szCs w:val="24"/>
        </w:rPr>
        <w:t>. Alytaus lopšelyje-darželyje „Girinukas“ ir leisti jį lankyti Alytaus lopšelius-darželius „Girinukas“ „Pušynėlis“ ir Alytaus Piliakalnio progimnazijos skyrių „Nykštukas“ lankantiems ikimokyklinio ir priešmokyklinio amžiaus mokiniams;</w:t>
      </w:r>
    </w:p>
    <w:p w14:paraId="4709D832" w14:textId="77777777">
      <w:pPr>
        <w:ind w:firstLine="1296"/>
        <w:jc w:val="both"/>
        <w:rPr>
          <w:rFonts w:ascii="Arial" w:eastAsia="Calibri" w:hAnsi="Arial" w:cs="Arial"/>
          <w:szCs w:val="24"/>
        </w:rPr>
      </w:pPr>
      <w:r>
        <w:rPr>
          <w:rFonts w:ascii="Arial" w:eastAsia="Calibri" w:hAnsi="Arial" w:cs="Arial"/>
          <w:szCs w:val="24"/>
        </w:rPr>
        <w:t>4</w:t>
      </w:r>
      <w:r>
        <w:rPr>
          <w:rFonts w:ascii="Arial" w:eastAsia="Calibri" w:hAnsi="Arial" w:cs="Arial"/>
          <w:szCs w:val="24"/>
        </w:rPr>
        <w:t xml:space="preserve">. Alytaus Likiškėlių progimnazijos skyriuje „Boružėlė“ ir leisti jį lankyti Alytaus lopšelius-darželius „Du gaideliai“, „Volungėlė“, Alytaus lopšelio-darželio „Du gaideliai“ skyrių „Linelis“ ir Likiškėlių progimnazijos skyrių „Boružėlė“ lankantiems ikimokyklinio ir priešmokyklinio amžiaus mokiniams; </w:t>
      </w:r>
    </w:p>
    <w:p w14:paraId="7BAC014D" w14:textId="77777777">
      <w:pPr>
        <w:ind w:firstLine="1296"/>
        <w:jc w:val="both"/>
        <w:rPr>
          <w:rFonts w:ascii="Arial" w:eastAsia="Calibri" w:hAnsi="Arial" w:cs="Arial"/>
          <w:szCs w:val="24"/>
        </w:rPr>
      </w:pPr>
      <w:r>
        <w:rPr>
          <w:rFonts w:ascii="Arial" w:eastAsia="Calibri" w:hAnsi="Arial" w:cs="Arial"/>
          <w:szCs w:val="24"/>
        </w:rPr>
        <w:t>5</w:t>
      </w:r>
      <w:r>
        <w:rPr>
          <w:rFonts w:ascii="Arial" w:eastAsia="Calibri" w:hAnsi="Arial" w:cs="Arial"/>
          <w:szCs w:val="24"/>
        </w:rPr>
        <w:t>. Alytaus „Vilties“ mokykloje-darželyje ir leisti ją lankyti „Vilties“ mokyklą-darželį, Alytaus Vidzgirio mokyklos „Drevinuko“ skyrių lankantiems ikimokyklinio ir priešmokyklinio amžiaus mokiniams ir Vidzgirio mikrorajono lopšelius-darželius lankantiems mokiniams, kurie nepateks į Likiškėlių progimnazijos skyrių „Boružėlė“.</w:t>
      </w:r>
    </w:p>
    <w:p w14:paraId="206586DD" w14:textId="77777777">
      <w:pPr>
        <w:ind w:firstLine="1296"/>
        <w:jc w:val="both"/>
        <w:rPr>
          <w:rFonts w:ascii="Arial" w:eastAsia="Calibri" w:hAnsi="Arial" w:cs="Arial"/>
          <w:szCs w:val="24"/>
        </w:rPr>
      </w:pPr>
      <w:r>
        <w:rPr>
          <w:rFonts w:ascii="Arial" w:eastAsia="Calibri" w:hAnsi="Arial" w:cs="Arial"/>
          <w:szCs w:val="24"/>
        </w:rPr>
        <w:t>Atsižvelgiant į Alytaus miesto savivaldybės tarybos 2023 m. birželio 22 d. sprendimo Nr. T-153 „Dėl 2023–2029 m. Alytaus miesto tvarios plėtros strategijos patvirtinimo“ 1 punktu patvirtintos Alytaus miesto tvarios plėtros strategijos 2 priedo 2023–2029 m. Alytaus miesto tvarios plėtros strategijos įgyvendinimo veiksmų plano 1.1.3 papunktį, planuojami einamieji ikimokyklinio ugdymo įstaigų vidaus patalpų remonto darbai:</w:t>
      </w:r>
    </w:p>
    <w:p w14:paraId="4500710B" w14:textId="77777777">
      <w:pPr>
        <w:ind w:firstLine="1296"/>
        <w:jc w:val="both"/>
        <w:rPr>
          <w:rFonts w:ascii="Arial" w:eastAsia="Calibri" w:hAnsi="Arial" w:cs="Arial"/>
          <w:szCs w:val="24"/>
        </w:rPr>
      </w:pPr>
      <w:r>
        <w:rPr>
          <w:rFonts w:ascii="Arial" w:eastAsia="Calibri" w:hAnsi="Arial" w:cs="Arial"/>
          <w:szCs w:val="24"/>
        </w:rPr>
        <w:t>1</w:t>
      </w:r>
      <w:r>
        <w:rPr>
          <w:rFonts w:ascii="Arial" w:eastAsia="Calibri" w:hAnsi="Arial" w:cs="Arial"/>
          <w:szCs w:val="24"/>
        </w:rPr>
        <w:t>. Alytaus lopšelyje-darželyje „Du gaideliai“ numatoma atlikti vidaus elektros tinklų rekonstrukciją, įrengiant pakabinamas lubas ir LED apšvietimą, įrengti fizinio ugdymo patalpas, pakeisti vandentiekio vamzdynus rūsyje.</w:t>
      </w:r>
    </w:p>
    <w:p w14:paraId="13C33FE8" w14:textId="77777777">
      <w:pPr>
        <w:ind w:firstLine="1296"/>
        <w:jc w:val="both"/>
        <w:rPr>
          <w:rFonts w:ascii="Arial" w:eastAsia="Calibri" w:hAnsi="Arial" w:cs="Arial"/>
          <w:szCs w:val="24"/>
        </w:rPr>
      </w:pPr>
      <w:r>
        <w:rPr>
          <w:rFonts w:ascii="Arial" w:eastAsia="Calibri" w:hAnsi="Arial" w:cs="Arial"/>
          <w:szCs w:val="24"/>
        </w:rPr>
        <w:t>2</w:t>
      </w:r>
      <w:r>
        <w:rPr>
          <w:rFonts w:ascii="Arial" w:eastAsia="Calibri" w:hAnsi="Arial" w:cs="Arial"/>
          <w:szCs w:val="24"/>
        </w:rPr>
        <w:t xml:space="preserve">. Alytaus lopšelyje-darželyje „Volungėlė“ numatoma įrengti sensorinę klasę, atlikti virtuvės patalpų remontą, įrengti neįgaliųjų pandusą su keltuvu ir sutvarkyti šaligatvius ir įėjimo laiptus. </w:t>
      </w:r>
    </w:p>
    <w:p w14:paraId="6AE6A270" w14:textId="77777777">
      <w:pPr>
        <w:ind w:firstLine="1296"/>
        <w:jc w:val="both"/>
        <w:rPr>
          <w:rFonts w:ascii="Arial" w:eastAsia="Calibri" w:hAnsi="Arial" w:cs="Arial"/>
          <w:szCs w:val="24"/>
        </w:rPr>
      </w:pPr>
      <w:r>
        <w:rPr>
          <w:rFonts w:ascii="Arial" w:eastAsia="Calibri" w:hAnsi="Arial" w:cs="Arial"/>
          <w:szCs w:val="24"/>
        </w:rPr>
        <w:t>3</w:t>
      </w:r>
      <w:r>
        <w:rPr>
          <w:rFonts w:ascii="Arial" w:eastAsia="Calibri" w:hAnsi="Arial" w:cs="Arial"/>
          <w:szCs w:val="24"/>
        </w:rPr>
        <w:t xml:space="preserve">. Alytaus lopšelio-darželio „Du gaideliai“ skyriuje „Linelis“ numatoma įrengti sensorinę klasę, neįgaliųjų pandusą su keltuvu ir sutvarkyti šaligatvius, pakeisti lietaus stovus. </w:t>
      </w:r>
    </w:p>
    <w:p w14:paraId="7C4A5207" w14:textId="77777777">
      <w:pPr>
        <w:ind w:firstLine="1296"/>
        <w:jc w:val="both"/>
        <w:rPr>
          <w:rFonts w:ascii="Arial" w:eastAsia="Calibri" w:hAnsi="Arial" w:cs="Arial"/>
          <w:szCs w:val="24"/>
        </w:rPr>
      </w:pPr>
      <w:r>
        <w:rPr>
          <w:rFonts w:ascii="Arial" w:eastAsia="Calibri" w:hAnsi="Arial" w:cs="Arial"/>
          <w:szCs w:val="24"/>
        </w:rPr>
        <w:t>4</w:t>
      </w:r>
      <w:r>
        <w:rPr>
          <w:rFonts w:ascii="Arial" w:eastAsia="Calibri" w:hAnsi="Arial" w:cs="Arial"/>
          <w:szCs w:val="24"/>
        </w:rPr>
        <w:t xml:space="preserve">. Alytaus Piliakalnio progimnazijos skyriuje „Nykštukas“ planuojamas II korpuso 6 grupių remontas, sutvarkant laiptinių patalpas. Taip pat numatoma suremontuoti magistralinius tinklus ir lietaus stovus. </w:t>
      </w:r>
    </w:p>
    <w:p w14:paraId="4F3C9804" w14:textId="60822821">
      <w:pPr>
        <w:ind w:firstLine="1296"/>
        <w:jc w:val="both"/>
        <w:rPr>
          <w:rFonts w:ascii="Arial" w:eastAsia="Calibri" w:hAnsi="Arial" w:cs="Arial"/>
          <w:szCs w:val="24"/>
        </w:rPr>
      </w:pPr>
      <w:r>
        <w:rPr>
          <w:rFonts w:ascii="Arial" w:eastAsia="Calibri" w:hAnsi="Arial" w:cs="Arial"/>
          <w:szCs w:val="24"/>
        </w:rPr>
        <w:t>5</w:t>
      </w:r>
      <w:r>
        <w:rPr>
          <w:rFonts w:ascii="Arial" w:eastAsia="Calibri" w:hAnsi="Arial" w:cs="Arial"/>
          <w:szCs w:val="24"/>
        </w:rPr>
        <w:t>. Alytaus Vidzgirio mokyklos „Drevinuko“ skyriuje numatoma atlikti vidaus elektros rekonstrukciją, įrengti pakabinamas lubas ir LED apšvietimą A korpuse ir perdažyti sienas. Taip pat numatoma įrengti bibliotekos patalpas ir Atsitraukimo erdvę individualiai veiklai su SUP vaikais.</w:t>
      </w:r>
    </w:p>
    <w:p w14:paraId="62A0BDCC" w14:textId="5185C330">
      <w:pPr>
        <w:ind w:firstLine="1296"/>
        <w:jc w:val="both"/>
        <w:rPr>
          <w:rFonts w:ascii="Arial" w:eastAsia="Calibri" w:hAnsi="Arial" w:cs="Arial"/>
          <w:szCs w:val="24"/>
        </w:rPr>
      </w:pPr>
      <w:r>
        <w:rPr>
          <w:rFonts w:ascii="Arial" w:eastAsia="Calibri" w:hAnsi="Arial" w:cs="Arial"/>
          <w:szCs w:val="24"/>
        </w:rPr>
        <w:t>Atlikus išsamią 2024 m. liepos ir rugpjūčio mėnesių Alytaus miesto savivaldybės lopšelių-darželių ir mokyklų-darželių lankomumo analizę, daroma prielaida, kad tėvai labai neatsakingai teikia prašymus lankyti ikimokyklinio ugdymo įstaigas vasaros metu.</w:t>
      </w:r>
    </w:p>
    <w:p w14:paraId="4B9E2DF9" w14:textId="7B9E9030">
      <w:pPr>
        <w:ind w:firstLine="1296"/>
        <w:jc w:val="both"/>
        <w:rPr>
          <w:rFonts w:ascii="Arial" w:hAnsi="Arial" w:cs="Arial"/>
          <w:szCs w:val="24"/>
          <w:lang w:eastAsia="lt-LT"/>
        </w:rPr>
      </w:pPr>
      <w:r>
        <w:rPr>
          <w:rFonts w:ascii="Arial" w:hAnsi="Arial" w:cs="Arial"/>
          <w:szCs w:val="24"/>
          <w:lang w:eastAsia="lt-LT"/>
        </w:rPr>
        <w:t xml:space="preserve">Mokinių tėvai pateikė 1 410 prašymų lankyti ikimokyklinio ugdymo įstaigas 2024 m. liepos mėnesį, o lankomumas procentine išraiška buvo 67 %. Iš viso dirbo 73 grupės, o pagal faktinį mokinių lankomumą būtų užtekę 53 dirbančių grupių. Iš pateiktų 1 410 prašymų iki 5 dienų lankė 126, o nelankė nei vienos dienos 62 mokiniai. </w:t>
      </w:r>
    </w:p>
    <w:p w14:paraId="0E5694C2" w14:textId="6348748B">
      <w:pPr>
        <w:ind w:firstLine="1296"/>
        <w:jc w:val="both"/>
        <w:rPr>
          <w:rFonts w:ascii="Arial" w:hAnsi="Arial" w:cs="Arial"/>
          <w:szCs w:val="24"/>
          <w:lang w:eastAsia="lt-LT"/>
        </w:rPr>
      </w:pPr>
      <w:r>
        <w:rPr>
          <w:rFonts w:ascii="Arial" w:hAnsi="Arial" w:cs="Arial"/>
          <w:szCs w:val="24"/>
          <w:lang w:eastAsia="lt-LT"/>
        </w:rPr>
        <w:t xml:space="preserve">Mokinių tėvai pateikė 1 329 prašymus lankyti ikimokyklinio ugdymo įstaigas 2024 m. rugpjūčio mėnesį, o lankomumo vidurkis procentine išraiška buvo 64 %. Dirbo 69 grupės, o pagal faktinį mokinių lankomumą būtų užtekę 51 dirbančios grupės. Iš pateiktų 1 329 prašymų iki 5 dienų lankė 140, o nelankė nei vienos dienos 94 mokiniai. </w:t>
      </w:r>
    </w:p>
    <w:p w14:paraId="2A958E26" w14:textId="6DABF673">
      <w:pPr>
        <w:ind w:firstLine="1296"/>
        <w:jc w:val="both"/>
        <w:rPr>
          <w:rFonts w:ascii="Arial" w:hAnsi="Arial" w:cs="Arial"/>
          <w:szCs w:val="24"/>
          <w:lang w:eastAsia="lt-LT"/>
        </w:rPr>
      </w:pPr>
      <w:r>
        <w:rPr>
          <w:rFonts w:ascii="Arial" w:hAnsi="Arial" w:cs="Arial"/>
          <w:szCs w:val="24"/>
          <w:lang w:eastAsia="lt-LT"/>
        </w:rPr>
        <w:t>Dėl tokio neatsakingo tėvų požiūrio teikiant prašymus lankyti ikimokyklinio ugdymo įstaigas liepos ir rugpjūčio mėnesiais, vasaros metu kokybiškai neatostogavo ikimokyklinio ugdymo mokytojai arba papildomai buvo mokamos lėšos pavaduojantiems asmenims, kurie dirbo su apytuštėmis grupėmis.</w:t>
      </w:r>
    </w:p>
    <w:p w14:paraId="467B2012" w14:textId="4A39C0CA">
      <w:pPr>
        <w:ind w:firstLine="1296"/>
        <w:jc w:val="both"/>
        <w:rPr>
          <w:rFonts w:ascii="Arial" w:hAnsi="Arial" w:cs="Arial"/>
          <w:szCs w:val="24"/>
          <w:lang w:eastAsia="lt-LT"/>
        </w:rPr>
      </w:pPr>
      <w:r>
        <w:rPr>
          <w:rFonts w:ascii="Arial" w:hAnsi="Arial" w:cs="Arial"/>
          <w:szCs w:val="24"/>
          <w:lang w:eastAsia="lt-LT"/>
        </w:rPr>
        <w:t xml:space="preserve">Lietuvos Respublikos vaiko teisių apsaugos pagrindų 1996 m. kovo 14 d. įstatymo Nr. I-1234 </w:t>
      </w:r>
      <w:r>
        <w:rPr>
          <w:rFonts w:ascii="Arial" w:eastAsia="Calibri" w:hAnsi="Arial" w:cs="Arial"/>
          <w:bCs/>
          <w:color w:val="000000"/>
          <w:szCs w:val="24"/>
        </w:rPr>
        <w:t xml:space="preserve">18 straipsnio </w:t>
      </w:r>
      <w:r>
        <w:rPr>
          <w:rFonts w:ascii="Arial" w:hAnsi="Arial" w:cs="Arial"/>
          <w:szCs w:val="24"/>
          <w:lang w:eastAsia="lt-LT"/>
        </w:rPr>
        <w:t xml:space="preserve">1 punktas reglamentuoja, kad „vaikas turi teisę į poilsį ir laisvalaikį, atitinkantį jo amžių, sveikatos būklę ir poreikius“. Vadinasi, tėvai turi sudaryti galimybę turėti vaikams atostogas, tačiau švietimo įstaigų patirtis yra tokia, kad yra tokių vaikų, kurie neturėję jokių atostogų  visus metus, išeina iš lopšelio-darželio į mokyklas.</w:t>
      </w:r>
    </w:p>
    <w:p w14:paraId="7C8A2B53" w14:textId="0B8C8D4C">
      <w:pPr>
        <w:ind w:firstLine="1296"/>
        <w:jc w:val="both"/>
        <w:rPr>
          <w:rFonts w:ascii="Arial" w:hAnsi="Arial" w:cs="Arial"/>
          <w:szCs w:val="24"/>
          <w:lang w:eastAsia="lt-LT"/>
        </w:rPr>
      </w:pPr>
      <w:r>
        <w:rPr>
          <w:rFonts w:ascii="Arial" w:hAnsi="Arial" w:cs="Arial"/>
          <w:szCs w:val="24"/>
          <w:lang w:eastAsia="lt-LT"/>
        </w:rPr>
        <w:t>Atostogų teisę turi ir ikimokyklinio ugdymo įstaigų mokytojai. Mokytojo profesija yra viena iš kelių profesijų, kurių atstovams yra nustatytos ilgesnės atostogos. Vertinama, kad šis darbas yra susijęs su didesne nervine, emocine, protine įtampa. Visiems mokytojams, pradedant ikimokyklinio ugdymo auklėtojais ir baigiant profesinio mokymo mokytojais, per metus yra skiriamos 40 darbo dienų atostogos (jei dirbama 5 dienas per savaitę). Mokytojas savo atostogas turėtų išnaudoti vasaros metu, kadangi, prasidėjus mokslo metams, ir, mokytojams išėjus atostogauti mokslo metų metu, nukenčia mokinių ugdymo kokybė, nes vyksta ne ugdymas, o tik priežiūra.</w:t>
      </w:r>
    </w:p>
    <w:p w14:paraId="5BAD18B8" w14:textId="2A1564C4">
      <w:pPr>
        <w:ind w:firstLine="1296"/>
        <w:jc w:val="both"/>
        <w:rPr>
          <w:rFonts w:ascii="Arial" w:hAnsi="Arial" w:cs="Arial"/>
          <w:szCs w:val="24"/>
          <w:lang w:eastAsia="lt-LT"/>
        </w:rPr>
      </w:pPr>
      <w:r>
        <w:rPr>
          <w:rFonts w:ascii="Arial" w:hAnsi="Arial" w:cs="Arial"/>
          <w:szCs w:val="24"/>
          <w:lang w:eastAsia="lt-LT"/>
        </w:rPr>
        <w:t>Alytaus miesto savivaldybės tarybos sprendimo „Dėl Alytaus miesto savivaldybės lopšelių-darželių ir mokyklų-darželių darbo 2025 m. liepos ir rugpjūčio mėnesiais“ projektas 2024 m. lapkričio 6 d. buvo aptartas Alytaus lopšelių-darželių ir mokyklų-darželių direktorių pasitarime. Sprendimo projektui direktorės neprieštaravo.</w:t>
      </w:r>
    </w:p>
    <w:p w14:paraId="1A9A3791" w14:textId="77777777">
      <w:pPr>
        <w:ind w:firstLine="1296"/>
        <w:jc w:val="both"/>
        <w:rPr>
          <w:rFonts w:ascii="Arial" w:hAnsi="Arial" w:cs="Arial"/>
          <w:szCs w:val="24"/>
          <w:lang w:eastAsia="lt-LT"/>
        </w:rPr>
      </w:pPr>
      <w:r>
        <w:rPr>
          <w:rFonts w:ascii="Arial" w:hAnsi="Arial" w:cs="Arial"/>
          <w:szCs w:val="24"/>
          <w:lang w:eastAsia="lt-LT"/>
        </w:rPr>
        <w:t>Šis tarybos sprendimo projektas rengiamas kuo anksčiau, kad tėveliai galėtų planuoti atostogų laiką ir sudaryti galimybę savo vaikams pailsėti vasaros metu.</w:t>
      </w:r>
    </w:p>
    <w:p w14:paraId="29527EA8" w14:textId="3EB05D67">
      <w:pPr>
        <w:ind w:firstLine="1296"/>
        <w:jc w:val="both"/>
        <w:rPr>
          <w:rFonts w:ascii="Arial" w:hAnsi="Arial" w:cs="Arial"/>
          <w:szCs w:val="24"/>
          <w:lang w:eastAsia="lt-LT"/>
        </w:rPr>
      </w:pPr>
      <w:r>
        <w:rPr>
          <w:rFonts w:ascii="Arial" w:hAnsi="Arial" w:cs="Arial"/>
          <w:szCs w:val="24"/>
          <w:lang w:eastAsia="lt-LT"/>
        </w:rPr>
        <w:t>Prašome gerbiamą tarybą pritarti Alytaus miesto savivaldybės tarybos sprendimo „Dėl Alytaus miesto savivaldybės lopšelių-darželių ir mokyklų-darželių darbo 2025 m. liepos–rugpjūčio mėnesiais“ projektui.</w:t>
      </w:r>
    </w:p>
    <w:p w14:paraId="4076C3A4" w14:textId="77777777">
      <w:pPr>
        <w:ind w:firstLine="1296"/>
        <w:jc w:val="both"/>
        <w:rPr>
          <w:rFonts w:ascii="Arial" w:hAnsi="Arial" w:cs="Arial"/>
          <w:szCs w:val="24"/>
          <w:lang w:eastAsia="lt-LT"/>
        </w:rPr>
      </w:pPr>
    </w:p>
    <w:p w14:paraId="01455ED5" w14:textId="77777777">
      <w:pPr>
        <w:ind w:firstLine="1296"/>
        <w:jc w:val="both"/>
        <w:rPr>
          <w:rFonts w:ascii="Arial" w:hAnsi="Arial" w:cs="Arial"/>
          <w:szCs w:val="24"/>
          <w:lang w:eastAsia="lt-LT"/>
        </w:rPr>
      </w:pPr>
    </w:p>
    <w:p w14:paraId="4076C3A5" w14:textId="259CF4C7">
      <w:pPr>
        <w:ind w:firstLine="1296"/>
        <w:jc w:val="both"/>
        <w:rPr>
          <w:rFonts w:ascii="Arial" w:hAnsi="Arial" w:cs="Arial"/>
          <w:szCs w:val="24"/>
          <w:lang w:eastAsia="lt-LT"/>
        </w:rPr>
      </w:pPr>
    </w:p>
    <w:p w14:paraId="4076C3A6" w14:textId="3196CB24">
      <w:pPr>
        <w:widowControl w:val="0"/>
        <w:tabs>
          <w:tab w:val="left" w:pos="1276"/>
        </w:tabs>
        <w:jc w:val="both"/>
        <w:rPr>
          <w:rFonts w:ascii="Arial" w:hAnsi="Arial" w:cs="Arial"/>
          <w:bCs/>
          <w:szCs w:val="24"/>
          <w:lang w:eastAsia="lt-LT"/>
        </w:rPr>
      </w:pPr>
      <w:r>
        <w:rPr>
          <w:rFonts w:ascii="Arial" w:hAnsi="Arial" w:cs="Arial"/>
          <w:szCs w:val="24"/>
          <w:lang w:eastAsia="lt-LT"/>
        </w:rPr>
        <w:t>Vyriausioji specialistė</w:t>
        <w:tab/>
        <w:tab/>
        <w:tab/>
        <w:tab/>
        <w:t>Laima Kairienė</w:t>
      </w:r>
    </w:p>
    <w:p w14:paraId="4076C3BE" w14:textId="77777777">
      <w:pPr>
        <w:jc w:val="both"/>
        <w:rPr>
          <w:rFonts w:ascii="Arial" w:eastAsia="Calibri" w:hAnsi="Arial" w:cs="Arial"/>
          <w:szCs w:val="24"/>
        </w:rPr>
      </w:pPr>
    </w:p>
    <w:p w14:paraId="4076C3BF" w14:textId="0D8940DA">
      <w:pPr>
        <w:spacing w:line="276" w:lineRule="auto"/>
        <w:rPr>
          <w:rFonts w:ascii="Arial" w:eastAsia="Calibri" w:hAnsi="Arial" w:cs="Arial"/>
          <w:szCs w:val="22"/>
        </w:rPr>
      </w:pPr>
      <w:r>
        <w:rPr>
          <w:rFonts w:ascii="Arial" w:eastAsia="Calibri" w:hAnsi="Arial" w:cs="Arial"/>
          <w:szCs w:val="22"/>
        </w:rPr>
        <w:t>Tel. (8 315) 55 184, +370 620 24601, el. p. laima.kairiene@alytus.lt</w:t>
      </w:r>
    </w:p>
    <w:sectPr>
      <w:headerReference w:type="even" r:id="rId8"/>
      <w:headerReference w:type="default" r:id="rId9"/>
      <w:footerReference w:type="even" r:id="rId10"/>
      <w:footerReference w:type="default" r:id="rId11"/>
      <w:headerReference w:type="first" r:id="rId12"/>
      <w:footerReference w:type="first" r:id="rId13"/>
      <w:pgSz w:w="11906" w:h="16838" w:code="9"/>
      <w:pgMar w:top="1134" w:right="567" w:bottom="1134" w:left="1701" w:header="567" w:footer="567" w:gutter="0"/>
      <w:cols w:space="1296"/>
      <w:titlePg/>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BCD8D" w14:textId="77777777">
      <w:pPr>
        <w:rPr>
          <w:rFonts w:ascii="Calibri" w:eastAsia="Calibri" w:hAnsi="Calibri"/>
          <w:sz w:val="22"/>
          <w:szCs w:val="22"/>
        </w:rPr>
      </w:pPr>
      <w:r>
        <w:rPr>
          <w:rFonts w:ascii="Calibri" w:eastAsia="Calibri" w:hAnsi="Calibri"/>
          <w:sz w:val="22"/>
          <w:szCs w:val="22"/>
        </w:rPr>
        <w:separator/>
      </w:r>
    </w:p>
  </w:endnote>
  <w:endnote w:type="continuationSeparator" w:id="0">
    <w:p w14:paraId="4441FC13" w14:textId="77777777">
      <w:pPr>
        <w:rPr>
          <w:rFonts w:ascii="Calibri" w:eastAsia="Calibri" w:hAnsi="Calibri"/>
          <w:sz w:val="22"/>
          <w:szCs w:val="22"/>
        </w:rPr>
      </w:pPr>
      <w:r>
        <w:rPr>
          <w:rFonts w:ascii="Calibri" w:eastAsia="Calibri" w:hAnsi="Calibri"/>
          <w:sz w:val="22"/>
          <w:szCs w:val="22"/>
        </w:rPr>
        <w:continuationSeparator/>
      </w:r>
    </w:p>
  </w:endnote>
  <w:endnote w:type="continuationNotice" w:id="1">
    <w:p w14:paraId="77CCA282" w14:textId="77777777">
      <w:pPr>
        <w:rPr>
          <w:rFonts w:ascii="Calibri" w:eastAsia="Calibri" w:hAnsi="Calibri"/>
          <w:sz w:val="22"/>
          <w:szCs w:val="22"/>
        </w:rPr>
      </w:pPr>
    </w:p>
  </w:endnote>
</w:endnotes>
</file>

<file path=word/fontTable.xml><?xml version="1.0" encoding="utf-8"?>
<w:font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53E96" w14:textId="77777777">
    <w:pPr>
      <w:tabs>
        <w:tab w:val="center" w:pos="4819"/>
        <w:tab w:val="right" w:pos="9638"/>
      </w:tabs>
      <w:rPr>
        <w:rFonts w:ascii="Calibri" w:eastAsia="Calibri" w:hAnsi="Calibri"/>
        <w:sz w:val="22"/>
        <w:szCs w:val="22"/>
      </w:rPr>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27C36" w14:textId="77777777">
    <w:pPr>
      <w:tabs>
        <w:tab w:val="center" w:pos="4819"/>
        <w:tab w:val="right" w:pos="9638"/>
      </w:tabs>
      <w:rPr>
        <w:rFonts w:ascii="Calibri" w:eastAsia="Calibri" w:hAnsi="Calibri"/>
        <w:sz w:val="22"/>
        <w:szCs w:val="22"/>
      </w:rPr>
    </w:pPr>
  </w:p>
</w:ftr>
</file>

<file path=word/footer3.xml><?xml version="1.0" encoding="utf-8"?>
<w:ft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4429B" w14:textId="77777777">
    <w:pPr>
      <w:tabs>
        <w:tab w:val="center" w:pos="4819"/>
        <w:tab w:val="right" w:pos="9638"/>
      </w:tabs>
      <w:rPr>
        <w:rFonts w:ascii="Calibri" w:eastAsia="Calibri" w:hAnsi="Calibri"/>
        <w:sz w:val="22"/>
        <w:szCs w:val="22"/>
      </w:rPr>
    </w:pPr>
  </w:p>
</w:ftr>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FDD0F2" w14:textId="77777777">
      <w:pPr>
        <w:rPr>
          <w:rFonts w:ascii="Calibri" w:eastAsia="Calibri" w:hAnsi="Calibri"/>
          <w:sz w:val="22"/>
          <w:szCs w:val="22"/>
        </w:rPr>
      </w:pPr>
      <w:r>
        <w:rPr>
          <w:rFonts w:ascii="Calibri" w:eastAsia="Calibri" w:hAnsi="Calibri"/>
          <w:sz w:val="22"/>
          <w:szCs w:val="22"/>
        </w:rPr>
        <w:separator/>
      </w:r>
    </w:p>
  </w:footnote>
  <w:footnote w:type="continuationSeparator" w:id="0">
    <w:p w14:paraId="0402E683" w14:textId="77777777">
      <w:pPr>
        <w:rPr>
          <w:rFonts w:ascii="Calibri" w:eastAsia="Calibri" w:hAnsi="Calibri"/>
          <w:sz w:val="22"/>
          <w:szCs w:val="22"/>
        </w:rPr>
      </w:pPr>
      <w:r>
        <w:rPr>
          <w:rFonts w:ascii="Calibri" w:eastAsia="Calibri" w:hAnsi="Calibri"/>
          <w:sz w:val="22"/>
          <w:szCs w:val="22"/>
        </w:rPr>
        <w:continuationSeparator/>
      </w:r>
    </w:p>
  </w:footnote>
  <w:footnote w:type="continuationNotice" w:id="1">
    <w:p w14:paraId="10DF207C" w14:textId="77777777">
      <w:pPr>
        <w:rPr>
          <w:rFonts w:ascii="Calibri" w:eastAsia="Calibri" w:hAnsi="Calibri"/>
          <w:sz w:val="22"/>
          <w:szCs w:val="22"/>
        </w:rPr>
      </w:pP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BA176" w14:textId="77777777">
    <w:pPr>
      <w:tabs>
        <w:tab w:val="center" w:pos="4819"/>
        <w:tab w:val="right" w:pos="9638"/>
      </w:tabs>
      <w:rPr>
        <w:rFonts w:ascii="Calibri" w:eastAsia="Calibri" w:hAnsi="Calibri"/>
        <w:sz w:val="22"/>
        <w:szCs w:val="22"/>
      </w:rPr>
    </w:pP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6C375" w14:textId="77777777">
    <w:pPr>
      <w:tabs>
        <w:tab w:val="center" w:pos="4819"/>
        <w:tab w:val="right" w:pos="9638"/>
      </w:tabs>
      <w:rPr>
        <w:rFonts w:ascii="Calibri" w:eastAsia="Calibri" w:hAnsi="Calibri"/>
        <w:sz w:val="22"/>
        <w:szCs w:val="22"/>
      </w:rPr>
    </w:pPr>
  </w:p>
</w:hdr>
</file>

<file path=word/header3.xml><?xml version="1.0" encoding="utf-8"?>
<w:hdr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FD01C" w14:textId="77777777">
    <w:pPr>
      <w:tabs>
        <w:tab w:val="center" w:pos="4819"/>
        <w:tab w:val="right" w:pos="9638"/>
      </w:tabs>
      <w:rPr>
        <w:rFonts w:ascii="Calibri" w:eastAsia="Calibri" w:hAnsi="Calibri"/>
        <w:sz w:val="22"/>
        <w:szCs w:val="22"/>
      </w:rPr>
    </w:pPr>
  </w:p>
</w:hdr>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1296"/>
  <w:hyphenationZone w:val="396"/>
  <w:doNotHyphenateCap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55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C363"/>
  <w15:docId w15:val="{7F140D81-E0A2-4323-89C9-819EE33DB31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ivs>
    <w:div w:id="6368983">
      <w:bodyDiv w:val="1"/>
      <w:marLeft w:val="0"/>
      <w:marRight w:val="0"/>
      <w:marTop w:val="0"/>
      <w:marBottom w:val="0"/>
      <w:divBdr>
        <w:top w:val="none" w:sz="0" w:space="0" w:color="auto"/>
        <w:left w:val="none" w:sz="0" w:space="0" w:color="auto"/>
        <w:bottom w:val="none" w:sz="0" w:space="0" w:color="auto"/>
        <w:right w:val="none" w:sz="0" w:space="0" w:color="auto"/>
      </w:divBdr>
    </w:div>
    <w:div w:id="310259748">
      <w:bodyDiv w:val="1"/>
      <w:marLeft w:val="0"/>
      <w:marRight w:val="0"/>
      <w:marTop w:val="0"/>
      <w:marBottom w:val="0"/>
      <w:divBdr>
        <w:top w:val="none" w:sz="0" w:space="0" w:color="auto"/>
        <w:left w:val="none" w:sz="0" w:space="0" w:color="auto"/>
        <w:bottom w:val="none" w:sz="0" w:space="0" w:color="auto"/>
        <w:right w:val="none" w:sz="0" w:space="0" w:color="auto"/>
      </w:divBdr>
    </w:div>
    <w:div w:id="2145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fontTable" Target="fontTable.xml"/>
  <Relationship Id="rId15"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image" Target="media/image1.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19B68-1E06-463E-B882-2A3AF19E0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1299</Words>
  <Characters>9433</Characters>
  <Application>Microsoft Office Word</Application>
  <DocSecurity>4</DocSecurity>
  <Lines>174</Lines>
  <Paragraphs>61</Paragraphs>
  <ScaleCrop>false</ScaleCrop>
  <HeadingPairs>
    <vt:vector size="2" baseType="variant">
      <vt:variant>
        <vt:lpstr>Pavadinimas</vt:lpstr>
      </vt:variant>
      <vt:variant>
        <vt:i4>1</vt:i4>
      </vt:variant>
    </vt:vector>
  </HeadingPairs>
  <TitlesOfParts>
    <vt:vector size="1" baseType="lpstr">
      <vt:lpstr/>
    </vt:vector>
  </TitlesOfParts>
  <Manager>2024-11-15</Manager>
  <Company>Hewlett-Packard Company</Company>
  <LinksUpToDate>false</LinksUpToDate>
  <CharactersWithSpaces>10671</CharactersWithSpaces>
  <SharedDoc>false</SharedDoc>
  <HyperlinkBase/>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category>Projektas</category>
  <dcterms:created xsi:type="dcterms:W3CDTF">2024-11-27T09:14:00Z</dcterms:created>
  <dc:creator>ALYTAUS MIESTO SAVIVALDYBĖS TARYBA</dc:creator>
  <lastModifiedBy>adlibuser</lastModifiedBy>
  <lastPrinted>2013-02-27T06:11:00Z</lastPrinted>
  <dcterms:modified xsi:type="dcterms:W3CDTF">2024-11-27T09:14:00Z</dcterms:modified>
  <revision>2</revision>
  <dc:subject>TŽ-468</dc:subject>
  <dc:title>DĖL ALYTAUS MIESTO SAVIVALDYBĖS LOPŠELIŲ-DARŽELIŲ IR MOKYKLŲ-DARŽELIŲ DARBO 2025 M. LIEPOS–RUGPJŪČIO MĖNESIAIS</dc:title>
</coreProperties>
</file>