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14:paraId="34B2EEF6" w14:textId="77777777">
      <w:pPr>
        <w:tabs>
          <w:tab w:val="center" w:pos="4819"/>
          <w:tab w:val="right" w:pos="9638"/>
        </w:tabs>
        <w:rPr>
          <w:rFonts w:ascii="Calibri" w:eastAsia="Calibri" w:hAnsi="Calibri"/>
          <w:sz w:val="22"/>
          <w:szCs w:val="22"/>
        </w:rPr>
      </w:pPr>
    </w:p>
    <w:p w14:paraId="4076C363" w14:textId="61F784AC">
      <w:pPr>
        <w:widowControl w:val="0"/>
        <w:tabs>
          <w:tab w:val="left" w:pos="1298"/>
        </w:tabs>
        <w:jc w:val="right"/>
        <w:rPr>
          <w:rFonts w:ascii="Arial" w:hAnsi="Arial" w:cs="Arial"/>
          <w:b/>
          <w:szCs w:val="24"/>
          <w:lang w:eastAsia="lt-LT"/>
        </w:rPr>
      </w:pPr>
      <w:r>
        <w:rPr>
          <w:rFonts w:ascii="Arial" w:hAnsi="Arial" w:cs="Arial"/>
          <w:b/>
          <w:szCs w:val="24"/>
          <w:lang w:eastAsia="lt-LT"/>
        </w:rPr>
        <w:t>Projektas</w:t>
      </w:r>
    </w:p>
    <w:p w14:paraId="0B6DF581" w14:textId="3C716B9F">
      <w:pPr>
        <w:widowControl w:val="0"/>
        <w:tabs>
          <w:tab w:val="left" w:pos="1298"/>
        </w:tabs>
        <w:jc w:val="right"/>
        <w:rPr>
          <w:rFonts w:ascii="Arial" w:hAnsi="Arial" w:cs="Arial"/>
          <w:szCs w:val="24"/>
          <w:lang w:eastAsia="lt-LT"/>
        </w:rPr>
      </w:pPr>
      <w:r>
        <w:rPr>
          <w:rFonts w:ascii="Arial" w:hAnsi="Arial" w:cs="Arial"/>
          <w:szCs w:val="24"/>
          <w:lang w:eastAsia="lt-LT"/>
        </w:rPr>
        <w:t>2024-11-05 Nr. TŽ-437</w:t>
      </w:r>
    </w:p>
    <w:p w14:paraId="727C2023" w14:textId="77777777">
      <w:pPr>
        <w:jc w:val="center"/>
        <w:rPr>
          <w:rFonts w:ascii="Arial" w:eastAsia="Calibri" w:hAnsi="Arial" w:cs="Arial"/>
          <w:sz w:val="22"/>
          <w:szCs w:val="22"/>
        </w:rPr>
      </w:pPr>
      <w:r>
        <w:rPr>
          <w:rFonts w:ascii="Arial" w:hAnsi="Arial" w:cs="Arial"/>
          <w:szCs w:val="24"/>
          <w:lang w:val="en-US"/>
        </w:rPr>
        <w:drawing>
          <wp:inline distT="0" distB="0" distL="0" distR="0" wp14:anchorId="4BE2D453" wp14:editId="57F84752">
            <wp:extent cx="438150" cy="49530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150" cy="495300"/>
                    </a:xfrm>
                    <a:prstGeom prst="rect">
                      <a:avLst/>
                    </a:prstGeom>
                    <a:noFill/>
                    <a:ln>
                      <a:noFill/>
                    </a:ln>
                  </pic:spPr>
                </pic:pic>
              </a:graphicData>
            </a:graphic>
          </wp:inline>
        </w:drawing>
      </w:r>
    </w:p>
    <w:p w14:paraId="1EE9CF8F" w14:textId="77777777">
      <w:pPr>
        <w:jc w:val="center"/>
        <w:rPr>
          <w:rFonts w:ascii="Arial" w:eastAsia="Calibri" w:hAnsi="Arial" w:cs="Arial"/>
          <w:szCs w:val="24"/>
        </w:rPr>
      </w:pPr>
    </w:p>
    <w:p w14:paraId="0ACC69B5" w14:textId="77777777">
      <w:pPr>
        <w:spacing w:line="276" w:lineRule="auto"/>
        <w:jc w:val="center"/>
        <w:rPr>
          <w:rFonts w:ascii="Arial" w:hAnsi="Arial" w:cs="Arial"/>
          <w:b/>
          <w:szCs w:val="24"/>
          <w:lang w:eastAsia="lt-LT"/>
        </w:rPr>
      </w:pPr>
      <w:r>
        <w:rPr>
          <w:rFonts w:ascii="Arial" w:hAnsi="Arial" w:cs="Arial"/>
          <w:b/>
          <w:szCs w:val="24"/>
          <w:lang w:eastAsia="lt-LT"/>
        </w:rPr>
        <w:t>ALYTAUS MIESTO SAVIVALDYBĖS TARYBA</w:t>
      </w:r>
    </w:p>
    <w:p w14:paraId="5F00068A" w14:textId="6FA9A3AE">
      <w:pPr>
        <w:spacing w:line="276" w:lineRule="auto"/>
        <w:jc w:val="center"/>
        <w:rPr>
          <w:rFonts w:ascii="Arial" w:hAnsi="Arial" w:cs="Arial"/>
          <w:b/>
          <w:szCs w:val="24"/>
          <w:lang w:eastAsia="lt-LT"/>
        </w:rPr>
      </w:pPr>
    </w:p>
    <w:p w14:paraId="59F94B50" w14:textId="77777777">
      <w:pPr>
        <w:spacing w:line="276" w:lineRule="auto"/>
        <w:jc w:val="center"/>
        <w:rPr>
          <w:rFonts w:ascii="Arial" w:hAnsi="Arial" w:cs="Arial"/>
          <w:b/>
          <w:szCs w:val="24"/>
          <w:lang w:eastAsia="lt-LT"/>
        </w:rPr>
      </w:pPr>
    </w:p>
    <w:p w14:paraId="26E11DDF" w14:textId="10FE266F">
      <w:pPr>
        <w:spacing w:line="276" w:lineRule="auto"/>
        <w:jc w:val="center"/>
        <w:rPr>
          <w:rFonts w:ascii="Arial" w:hAnsi="Arial" w:cs="Arial"/>
          <w:b/>
          <w:szCs w:val="24"/>
          <w:lang w:eastAsia="lt-LT"/>
        </w:rPr>
      </w:pPr>
      <w:r>
        <w:rPr>
          <w:rFonts w:ascii="Arial" w:hAnsi="Arial" w:cs="Arial"/>
          <w:b/>
          <w:szCs w:val="24"/>
          <w:lang w:eastAsia="lt-LT"/>
        </w:rPr>
        <w:t>SPRENDIMAS</w:t>
      </w:r>
    </w:p>
    <w:p w14:paraId="08A00352" w14:textId="3240EEA8">
      <w:pPr>
        <w:jc w:val="center"/>
        <w:rPr>
          <w:rFonts w:ascii="Arial" w:hAnsi="Arial" w:cs="Arial"/>
          <w:b/>
          <w:szCs w:val="24"/>
          <w:lang w:eastAsia="lt-LT"/>
        </w:rPr>
      </w:pPr>
      <w:r>
        <w:rPr>
          <w:rFonts w:ascii="Arial" w:hAnsi="Arial" w:cs="Arial"/>
          <w:b/>
          <w:szCs w:val="24"/>
          <w:lang w:eastAsia="lt-LT"/>
        </w:rPr>
        <w:t>DĖL ALYTAUS MIESTO SAVIVALDYBĖS TARYBOS 2019-01-30 SPRENDIMO NR. T-14 „DĖL ALYTAUS MIESTO SAVIVALDYBĖS IR VALSTYBĖS TURTO VALDYMO, NAUDOJIMO IR DISPONAVIMO JUO TVARKOS APRAŠO PATVIRTINIMO“ PAKEITIMO</w:t>
      </w:r>
    </w:p>
    <w:p w14:paraId="00106BA4" w14:textId="77777777">
      <w:pPr>
        <w:spacing w:line="276" w:lineRule="auto"/>
        <w:jc w:val="center"/>
        <w:rPr>
          <w:rFonts w:ascii="Arial" w:hAnsi="Arial" w:cs="Arial"/>
          <w:b/>
          <w:szCs w:val="24"/>
          <w:lang w:eastAsia="lt-LT"/>
        </w:rPr>
      </w:pPr>
    </w:p>
    <w:p w14:paraId="7DAC037A" w14:textId="478EDF06">
      <w:pPr>
        <w:spacing w:line="276" w:lineRule="auto"/>
        <w:jc w:val="center"/>
        <w:rPr>
          <w:rFonts w:ascii="Arial" w:hAnsi="Arial" w:cs="Arial"/>
          <w:szCs w:val="24"/>
          <w:lang w:eastAsia="lt-LT"/>
        </w:rPr>
      </w:pPr>
      <w:r>
        <w:rPr>
          <w:rFonts w:ascii="Arial" w:hAnsi="Arial" w:cs="Arial"/>
          <w:szCs w:val="24"/>
          <w:lang w:eastAsia="lt-LT"/>
        </w:rPr>
        <w:t>      Nr. T-</w:t>
      </w:r>
    </w:p>
    <w:p w14:paraId="4B0E6358" w14:textId="77777777">
      <w:pPr>
        <w:spacing w:line="276" w:lineRule="auto"/>
        <w:jc w:val="center"/>
        <w:rPr>
          <w:rFonts w:ascii="Arial" w:hAnsi="Arial" w:cs="Arial"/>
          <w:szCs w:val="24"/>
          <w:lang w:eastAsia="lt-LT"/>
        </w:rPr>
      </w:pPr>
      <w:r>
        <w:rPr>
          <w:rFonts w:ascii="Arial" w:hAnsi="Arial" w:cs="Arial"/>
          <w:szCs w:val="24"/>
          <w:lang w:eastAsia="lt-LT"/>
        </w:rPr>
        <w:t>Alytus</w:t>
      </w:r>
    </w:p>
    <w:p w14:paraId="06335EA9" w14:textId="77777777">
      <w:pPr>
        <w:spacing w:line="276" w:lineRule="auto"/>
        <w:jc w:val="center"/>
        <w:rPr>
          <w:rFonts w:ascii="Arial" w:hAnsi="Arial" w:cs="Arial"/>
          <w:szCs w:val="24"/>
          <w:lang w:eastAsia="lt-LT"/>
        </w:rPr>
      </w:pPr>
    </w:p>
    <w:p w14:paraId="03BF15F1" w14:textId="77777777">
      <w:pPr>
        <w:spacing w:line="276" w:lineRule="auto"/>
        <w:jc w:val="center"/>
        <w:rPr>
          <w:rFonts w:ascii="Arial" w:hAnsi="Arial" w:cs="Arial"/>
          <w:szCs w:val="24"/>
          <w:lang w:eastAsia="lt-LT"/>
        </w:rPr>
      </w:pPr>
    </w:p>
    <w:p w14:paraId="06A4AABF" w14:textId="3D1CE8EB">
      <w:pPr>
        <w:tabs>
          <w:tab w:val="left" w:pos="1843"/>
        </w:tabs>
        <w:ind w:firstLine="1298"/>
        <w:jc w:val="both"/>
        <w:rPr>
          <w:rFonts w:ascii="Arial" w:hAnsi="Arial" w:cs="Arial"/>
          <w:szCs w:val="24"/>
        </w:rPr>
      </w:pPr>
      <w:r>
        <w:rPr>
          <w:rFonts w:ascii="Arial" w:hAnsi="Arial" w:cs="Arial"/>
          <w:szCs w:val="24"/>
        </w:rPr>
        <w:t xml:space="preserve">Vadovaudamasi Lietuvos Respublikos vietos savivaldos įstatymo 15 straipsnio 2 dalies 19 punktu ir 2024-10-17 Lietuvos Respublikos valstybės ir savivaldybių turto valdymo, naudojimo ir disponavimo juo įstatymo Nr. VIII-729 2, 14, 20 ir 22 straipsnių pakeitimo įstatymu Nr. XIV-3044, Alytaus miesto savivaldybės taryba </w:t>
      </w:r>
      <w:r>
        <w:rPr>
          <w:rFonts w:ascii="Arial" w:hAnsi="Arial" w:cs="Arial"/>
          <w:spacing w:val="20"/>
          <w:szCs w:val="24"/>
        </w:rPr>
        <w:t>nusprendžia</w:t>
      </w:r>
      <w:r>
        <w:rPr>
          <w:rFonts w:ascii="Arial" w:hAnsi="Arial" w:cs="Arial"/>
          <w:szCs w:val="24"/>
        </w:rPr>
        <w:t>:</w:t>
      </w:r>
    </w:p>
    <w:p w14:paraId="763714F9" w14:textId="2C4BE70F">
      <w:pPr>
        <w:tabs>
          <w:tab w:val="left" w:pos="1701"/>
        </w:tabs>
        <w:ind w:firstLine="1298"/>
        <w:jc w:val="both"/>
        <w:rPr>
          <w:rFonts w:ascii="Arial" w:hAnsi="Arial" w:cs="Arial"/>
          <w:szCs w:val="24"/>
        </w:rPr>
      </w:pPr>
      <w:r>
        <w:rPr>
          <w:rFonts w:ascii="Arial" w:hAnsi="Arial" w:cs="Arial"/>
          <w:szCs w:val="24"/>
        </w:rPr>
        <w:t>1</w:t>
      </w:r>
      <w:r>
        <w:rPr>
          <w:rFonts w:ascii="Arial" w:hAnsi="Arial" w:cs="Arial"/>
          <w:szCs w:val="24"/>
        </w:rPr>
        <w:t>.</w:t>
        <w:tab/>
        <w:t xml:space="preserve">Pakeisti Alytaus miesto savivaldybės ir valstybės turto valdymo, naudojimo ir disponavimo juo tvarkos aprašą, patvirtintą Alytaus miesto savivaldybės tarybos 2019-01-30 sprendimu </w:t>
      </w:r>
      <w:r>
        <w:rPr>
          <w:rFonts w:ascii="Arial" w:hAnsi="Arial" w:cs="Arial"/>
          <w:color w:val="0000FF"/>
          <w:szCs w:val="24"/>
          <w:u w:val="single"/>
        </w:rPr>
        <w:t>Nr. T-14</w:t>
      </w:r>
      <w:r>
        <w:rPr>
          <w:rFonts w:ascii="Arial" w:hAnsi="Arial" w:cs="Arial"/>
          <w:szCs w:val="24"/>
        </w:rPr>
        <w:t xml:space="preserve"> „Dėl Alytaus miesto savivaldybės ir valstybės turto valdymo, naudojimo ir disponavimo juo tvarkos aprašo patvirtinimo“:</w:t>
      </w:r>
    </w:p>
    <w:p w14:paraId="4E3CE5CE" w14:textId="2A20C9EE">
      <w:pPr>
        <w:tabs>
          <w:tab w:val="left" w:pos="1843"/>
        </w:tabs>
        <w:ind w:firstLine="1298"/>
        <w:jc w:val="both"/>
        <w:rPr>
          <w:rFonts w:ascii="Arial" w:hAnsi="Arial" w:cs="Arial"/>
          <w:szCs w:val="24"/>
        </w:rPr>
      </w:pPr>
      <w:r>
        <w:rPr>
          <w:rFonts w:ascii="Arial" w:hAnsi="Arial" w:cs="Arial"/>
          <w:szCs w:val="24"/>
        </w:rPr>
        <w:t>1.1</w:t>
      </w:r>
      <w:r>
        <w:rPr>
          <w:rFonts w:ascii="Arial" w:hAnsi="Arial" w:cs="Arial"/>
          <w:szCs w:val="24"/>
        </w:rPr>
        <w:t>.</w:t>
        <w:tab/>
        <w:t>Pakeisti 16.3.3 papunktį ir jį išdėstyti taip:</w:t>
      </w:r>
    </w:p>
    <w:p w14:paraId="3FF8E4BE" w14:textId="663D1F29">
      <w:pPr>
        <w:tabs>
          <w:tab w:val="left" w:pos="1843"/>
        </w:tabs>
        <w:ind w:firstLine="1298"/>
        <w:jc w:val="both"/>
        <w:rPr>
          <w:rFonts w:ascii="Arial" w:hAnsi="Arial" w:cs="Arial"/>
          <w:szCs w:val="24"/>
        </w:rPr>
      </w:pPr>
      <w:r>
        <w:rPr>
          <w:rFonts w:ascii="Arial" w:hAnsi="Arial" w:cs="Arial"/>
          <w:szCs w:val="24"/>
        </w:rPr>
        <w:t>„</w:t>
      </w:r>
      <w:r>
        <w:rPr>
          <w:rFonts w:ascii="Arial" w:hAnsi="Arial" w:cs="Arial"/>
          <w:szCs w:val="24"/>
        </w:rPr>
        <w:t>16.3.3</w:t>
      </w:r>
      <w:r>
        <w:rPr>
          <w:rFonts w:ascii="Arial" w:hAnsi="Arial" w:cs="Arial"/>
          <w:szCs w:val="24"/>
        </w:rPr>
        <w:t>. užtikrinti asmenų su negalia ar kitų socialinę atskirtį patiriančių asmenų grupių (prekybos žmonėmis aukų, asmenų, turinčių psichikos ir elgesio sutrikimų dėl psichoaktyviųjų medžiagų vartojimo, nuteistųjų ir asmenų, paleistų iš laisvės atėmimo vietų įstaigos, bei kitoms socialinę atskirtį patiriančių asmenų grupėms priklausančių asmenų) ir užsieniečių socialinę integraciją;“.</w:t>
      </w:r>
    </w:p>
    <w:p w14:paraId="484AF117" w14:textId="4C4F5BFE">
      <w:pPr>
        <w:tabs>
          <w:tab w:val="left" w:pos="1843"/>
        </w:tabs>
        <w:ind w:firstLine="1298"/>
        <w:jc w:val="both"/>
        <w:rPr>
          <w:rFonts w:ascii="Arial" w:hAnsi="Arial" w:cs="Arial"/>
          <w:szCs w:val="24"/>
        </w:rPr>
      </w:pPr>
      <w:r>
        <w:rPr>
          <w:rFonts w:ascii="Arial" w:hAnsi="Arial" w:cs="Arial"/>
          <w:szCs w:val="24"/>
        </w:rPr>
        <w:t>1.2</w:t>
      </w:r>
      <w:r>
        <w:rPr>
          <w:rFonts w:ascii="Arial" w:hAnsi="Arial" w:cs="Arial"/>
          <w:szCs w:val="24"/>
        </w:rPr>
        <w:t>.</w:t>
        <w:tab/>
        <w:t xml:space="preserve">Pakeisti </w:t>
      </w:r>
      <w:r>
        <w:rPr>
          <w:rFonts w:ascii="Arial" w:hAnsi="Arial" w:cs="Arial"/>
          <w:szCs w:val="24"/>
          <w:lang w:eastAsia="lt-LT"/>
        </w:rPr>
        <w:t>16.3.4</w:t>
      </w:r>
      <w:r>
        <w:rPr>
          <w:rFonts w:ascii="Arial" w:hAnsi="Arial" w:cs="Arial"/>
          <w:szCs w:val="24"/>
        </w:rPr>
        <w:t xml:space="preserve"> papunktį ir jį išdėstyti taip:</w:t>
      </w:r>
    </w:p>
    <w:p w14:paraId="77029782" w14:textId="7EFBB110">
      <w:pPr>
        <w:tabs>
          <w:tab w:val="left" w:pos="1843"/>
        </w:tabs>
        <w:ind w:firstLine="1298"/>
        <w:jc w:val="both"/>
        <w:rPr>
          <w:rFonts w:ascii="Arial" w:hAnsi="Arial" w:cs="Arial"/>
          <w:szCs w:val="24"/>
        </w:rPr>
      </w:pPr>
      <w:r>
        <w:rPr>
          <w:rFonts w:ascii="Arial" w:hAnsi="Arial" w:cs="Arial"/>
          <w:szCs w:val="24"/>
        </w:rPr>
        <w:t>„</w:t>
      </w:r>
      <w:r>
        <w:rPr>
          <w:rFonts w:ascii="Arial" w:hAnsi="Arial" w:cs="Arial"/>
          <w:szCs w:val="24"/>
          <w:lang w:eastAsia="lt-LT"/>
        </w:rPr>
        <w:t>16.3.4</w:t>
      </w:r>
      <w:r>
        <w:rPr>
          <w:rFonts w:ascii="Arial" w:hAnsi="Arial" w:cs="Arial"/>
          <w:szCs w:val="24"/>
        </w:rPr>
        <w:t>. teikti pagalbą ir (arba) socialines paslaugas asmenims, dėl amžiaus, negalios ar kitų socialinių problemų negalintiems pasirūpinti savo asmeniniu gyvenimu ir dalyvauti visuomenės gyvenime ar patiriantiems skurdą ir socialinę atskirtį;“.</w:t>
      </w:r>
    </w:p>
    <w:p w14:paraId="323B9217" w14:textId="572ECB57">
      <w:pPr>
        <w:tabs>
          <w:tab w:val="left" w:pos="1843"/>
        </w:tabs>
        <w:ind w:firstLine="1298"/>
        <w:jc w:val="both"/>
        <w:rPr>
          <w:rFonts w:ascii="Arial" w:hAnsi="Arial" w:cs="Arial"/>
          <w:szCs w:val="24"/>
        </w:rPr>
      </w:pPr>
      <w:r>
        <w:rPr>
          <w:rFonts w:ascii="Arial" w:hAnsi="Arial" w:cs="Arial"/>
          <w:szCs w:val="24"/>
        </w:rPr>
        <w:t>1.3</w:t>
      </w:r>
      <w:r>
        <w:rPr>
          <w:rFonts w:ascii="Arial" w:hAnsi="Arial" w:cs="Arial"/>
          <w:szCs w:val="24"/>
        </w:rPr>
        <w:t>.</w:t>
        <w:tab/>
        <w:t>Pakeisti 16.7 papunktį ir jį išdėstyti taip:</w:t>
      </w:r>
    </w:p>
    <w:p w14:paraId="7FC26C43" w14:textId="058786C6">
      <w:pPr>
        <w:tabs>
          <w:tab w:val="left" w:pos="1843"/>
        </w:tabs>
        <w:ind w:firstLine="1298"/>
        <w:jc w:val="both"/>
        <w:rPr>
          <w:rFonts w:ascii="Arial" w:hAnsi="Arial" w:cs="Arial"/>
          <w:lang w:eastAsia="lt-LT"/>
        </w:rPr>
      </w:pPr>
      <w:r>
        <w:rPr>
          <w:rFonts w:ascii="Arial" w:hAnsi="Arial" w:cs="Arial"/>
          <w:lang w:eastAsia="lt-LT"/>
        </w:rPr>
        <w:t>„</w:t>
      </w:r>
      <w:r>
        <w:rPr>
          <w:rFonts w:ascii="Arial" w:hAnsi="Arial" w:cs="Arial"/>
          <w:lang w:eastAsia="lt-LT"/>
        </w:rPr>
        <w:t>16.7</w:t>
      </w:r>
      <w:r>
        <w:rPr>
          <w:rFonts w:ascii="Arial" w:hAnsi="Arial" w:cs="Arial"/>
          <w:lang w:eastAsia="lt-LT"/>
        </w:rPr>
        <w:t>. kitiems subjektams, jeigu tokio perdavimo tvarka ir sąlygos nustatytos Lietuvos Respublikos Prezidento įstatyme, Lietuvos Respublikos asmens su negalia teisių apsaugos pagrindų įstatyme, Lietuvos Respublikos švietimo įstatyme, Lietuvos Respublikos šeimynų įstatyme, Lietuvos Respublikos Lietuvos šaulių sąjungos įstatyme, Lietuvos Respublikos investicijų įstatyme, Lietuvos Respublikos valstybės įmonės Lietuvos oro uostų valdomų oro uostų koncesijos įstatyme, Lietuvos Respublikos įstatyme „Dėl užsieniečių teisinės padėties“, Lietuvos Respublikos tarptautinėse sutartyse ar tarptautiniuose susitarimuose.“</w:t>
      </w:r>
    </w:p>
    <w:p w14:paraId="1D0D05C6" w14:textId="066501FC">
      <w:pPr>
        <w:tabs>
          <w:tab w:val="left" w:pos="1701"/>
        </w:tabs>
        <w:ind w:firstLine="1298"/>
        <w:jc w:val="both"/>
        <w:rPr>
          <w:rFonts w:ascii="Arial" w:hAnsi="Arial" w:cs="Arial"/>
          <w:lang w:eastAsia="lt-LT"/>
        </w:rPr>
      </w:pPr>
      <w:r>
        <w:rPr>
          <w:rFonts w:ascii="Arial" w:hAnsi="Arial" w:cs="Arial"/>
          <w:lang w:eastAsia="lt-LT"/>
        </w:rPr>
        <w:t>2</w:t>
      </w:r>
      <w:r>
        <w:rPr>
          <w:rFonts w:ascii="Arial" w:hAnsi="Arial" w:cs="Arial"/>
          <w:lang w:eastAsia="lt-LT"/>
        </w:rPr>
        <w:t>.</w:t>
        <w:tab/>
        <w:t>Nustatyti, kad šis sprendimas įsigalioja 2024-12-01.</w:t>
      </w:r>
    </w:p>
    <w:p w14:paraId="4B655A50" w14:textId="3D5CD059">
      <w:pPr>
        <w:tabs>
          <w:tab w:val="left" w:pos="1843"/>
        </w:tabs>
        <w:ind w:firstLine="1298"/>
        <w:jc w:val="both"/>
        <w:rPr>
          <w:rFonts w:ascii="Arial" w:hAnsi="Arial" w:cs="Arial"/>
          <w:lang w:eastAsia="lt-LT"/>
        </w:rPr>
      </w:pPr>
      <w:r>
        <w:rPr>
          <w:rFonts w:ascii="Arial" w:hAnsi="Arial" w:cs="Arial"/>
          <w:lang w:eastAsia="lt-LT"/>
        </w:rPr>
        <w:t>Šis sprendimas gali būti skundžiamas Lietuvos Respublikos administracinių bylų teisenos įstatymo nustatyta tvarka.</w:t>
      </w:r>
    </w:p>
    <w:p w14:paraId="4076C380" w14:textId="77777777">
      <w:pPr>
        <w:ind w:firstLine="1296"/>
        <w:jc w:val="both"/>
        <w:rPr>
          <w:rFonts w:ascii="Arial" w:hAnsi="Arial" w:cs="Arial"/>
          <w:szCs w:val="24"/>
        </w:rPr>
      </w:pPr>
    </w:p>
    <w:p w14:paraId="4076C381" w14:textId="77777777">
      <w:pPr>
        <w:ind w:firstLine="1296"/>
        <w:jc w:val="both"/>
        <w:rPr>
          <w:rFonts w:ascii="Arial" w:hAnsi="Arial" w:cs="Arial"/>
          <w:szCs w:val="24"/>
        </w:rPr>
      </w:pPr>
    </w:p>
    <w:p w14:paraId="4076C382" w14:textId="5C9E04F8">
      <w:pPr>
        <w:jc w:val="both"/>
        <w:rPr>
          <w:rFonts w:ascii="Arial" w:hAnsi="Arial" w:cs="Arial"/>
          <w:szCs w:val="24"/>
          <w:lang w:eastAsia="lt-LT"/>
        </w:rPr>
      </w:pPr>
      <w:r>
        <w:rPr>
          <w:rFonts w:ascii="Arial" w:hAnsi="Arial" w:cs="Arial"/>
          <w:szCs w:val="24"/>
          <w:lang w:eastAsia="lt-LT"/>
        </w:rPr>
        <w:t>Savivaldybės meras</w:t>
        <w:tab/>
        <w:tab/>
        <w:tab/>
      </w:r>
    </w:p>
    <w:p w14:paraId="4076C383" w14:textId="77777777">
      <w:pPr>
        <w:rPr>
          <w:rFonts w:ascii="Arial" w:hAnsi="Arial" w:cs="Arial"/>
          <w:szCs w:val="24"/>
          <w:lang w:eastAsia="lt-LT"/>
        </w:rPr>
      </w:pPr>
      <w:r>
        <w:rPr>
          <w:rFonts w:ascii="Arial" w:hAnsi="Arial" w:cs="Arial"/>
          <w:szCs w:val="24"/>
          <w:lang w:eastAsia="lt-LT"/>
        </w:rPr>
        <w:br w:type="page"/>
      </w:r>
    </w:p>
    <w:p w14:paraId="3711896C" w14:textId="552CCBDA">
      <w:pPr>
        <w:rPr>
          <w:rFonts w:ascii="Arial" w:hAnsi="Arial" w:cs="Arial"/>
          <w:szCs w:val="24"/>
          <w:lang w:eastAsia="lt-LT"/>
        </w:rPr>
      </w:pPr>
      <w:r>
        <w:rPr>
          <w:rFonts w:ascii="Arial" w:hAnsi="Arial" w:cs="Arial"/>
          <w:szCs w:val="24"/>
          <w:lang w:eastAsia="lt-LT"/>
        </w:rPr>
        <w:t>Alytaus miesto savivaldybės tarybai</w:t>
      </w:r>
    </w:p>
    <w:p w14:paraId="3295544B" w14:textId="77777777">
      <w:pPr>
        <w:rPr>
          <w:rFonts w:ascii="Arial" w:hAnsi="Arial" w:cs="Arial"/>
          <w:szCs w:val="24"/>
          <w:lang w:eastAsia="lt-LT"/>
        </w:rPr>
      </w:pPr>
    </w:p>
    <w:p w14:paraId="0C82BE5A" w14:textId="77777777">
      <w:pPr>
        <w:ind w:left="-113"/>
        <w:jc w:val="center"/>
        <w:rPr>
          <w:rFonts w:ascii="Arial" w:hAnsi="Arial" w:cs="Arial"/>
          <w:b/>
          <w:szCs w:val="24"/>
          <w:lang w:eastAsia="lt-LT"/>
        </w:rPr>
      </w:pPr>
      <w:r>
        <w:rPr>
          <w:rFonts w:ascii="Arial" w:hAnsi="Arial" w:cs="Arial"/>
          <w:b/>
          <w:szCs w:val="24"/>
          <w:lang w:eastAsia="lt-LT"/>
        </w:rPr>
        <w:t>SPRENDIMO</w:t>
      </w:r>
    </w:p>
    <w:p w14:paraId="25CFA2E1" w14:textId="0ECD30B4">
      <w:pPr>
        <w:jc w:val="center"/>
        <w:rPr>
          <w:rFonts w:ascii="Arial" w:hAnsi="Arial" w:cs="Arial"/>
          <w:b/>
          <w:szCs w:val="24"/>
          <w:lang w:eastAsia="lt-LT"/>
        </w:rPr>
      </w:pPr>
      <w:r>
        <w:rPr>
          <w:rFonts w:ascii="Arial" w:hAnsi="Arial" w:cs="Arial"/>
          <w:b/>
          <w:szCs w:val="24"/>
          <w:lang w:eastAsia="lt-LT"/>
        </w:rPr>
        <w:t>„DĖL ALYTAUS MIESTO SAVIVALDYBĖS TARYBOS 2019-01-30 SPRENDIMO NR. T-14 „DĖL ALYTAUS MIESTO SAVIVALDYBĖS IR VALSTYBĖS TURTO VALDYMO, NAUDOJIMO IR DISPONAVIMO JUO TVARKOS APRAŠO PATVIRTINIMO“ PAKEITIMO“</w:t>
      </w:r>
    </w:p>
    <w:p w14:paraId="75D24744" w14:textId="1F04E3A2">
      <w:pPr>
        <w:jc w:val="center"/>
        <w:rPr>
          <w:rFonts w:ascii="Arial" w:hAnsi="Arial" w:cs="Arial"/>
          <w:b/>
          <w:szCs w:val="24"/>
          <w:lang w:eastAsia="lt-LT"/>
        </w:rPr>
      </w:pPr>
      <w:r>
        <w:rPr>
          <w:rFonts w:ascii="Arial" w:hAnsi="Arial" w:cs="Arial"/>
          <w:b/>
          <w:szCs w:val="24"/>
          <w:lang w:eastAsia="lt-LT"/>
        </w:rPr>
        <w:t>PROJEKTO AIŠKINAMASIS RAŠTAS</w:t>
      </w:r>
    </w:p>
    <w:p w14:paraId="6C059E4B" w14:textId="77777777">
      <w:pPr>
        <w:jc w:val="center"/>
        <w:rPr>
          <w:rFonts w:ascii="Arial" w:hAnsi="Arial" w:cs="Arial"/>
          <w:b/>
          <w:szCs w:val="24"/>
          <w:lang w:eastAsia="lt-LT"/>
        </w:rPr>
      </w:pPr>
    </w:p>
    <w:p w14:paraId="646DE012" w14:textId="7D9363D2">
      <w:pPr>
        <w:jc w:val="center"/>
        <w:rPr>
          <w:rFonts w:ascii="Arial" w:hAnsi="Arial" w:cs="Arial"/>
          <w:szCs w:val="24"/>
          <w:lang w:eastAsia="lt-LT"/>
        </w:rPr>
      </w:pPr>
      <w:r>
        <w:rPr>
          <w:rFonts w:ascii="Calibri" w:eastAsia="Calibri" w:hAnsi="Calibri"/>
          <w:sz w:val="22"/>
          <w:szCs w:val="22"/>
        </w:rPr>
        <w:t>2024-11-05</w:t>
      </w:r>
    </w:p>
    <w:p w14:paraId="3102FC0F" w14:textId="77777777">
      <w:pPr>
        <w:jc w:val="center"/>
        <w:rPr>
          <w:rFonts w:ascii="Arial" w:hAnsi="Arial" w:cs="Arial"/>
          <w:szCs w:val="24"/>
          <w:vertAlign w:val="superscript"/>
          <w:lang w:eastAsia="lt-LT"/>
        </w:rPr>
      </w:pPr>
      <w:r>
        <w:rPr>
          <w:rFonts w:ascii="Arial" w:hAnsi="Arial" w:cs="Arial"/>
          <w:szCs w:val="24"/>
          <w:vertAlign w:val="superscript"/>
          <w:lang w:eastAsia="lt-LT"/>
        </w:rPr>
        <w:t>(data)</w:t>
      </w:r>
    </w:p>
    <w:p w14:paraId="54D4BD3E" w14:textId="77777777">
      <w:pPr>
        <w:jc w:val="center"/>
        <w:rPr>
          <w:rFonts w:ascii="Arial" w:hAnsi="Arial" w:cs="Arial"/>
          <w:szCs w:val="24"/>
          <w:lang w:eastAsia="lt-LT"/>
        </w:rPr>
      </w:pPr>
      <w:r>
        <w:rPr>
          <w:rFonts w:ascii="Arial" w:hAnsi="Arial" w:cs="Arial"/>
          <w:szCs w:val="24"/>
          <w:lang w:eastAsia="lt-LT"/>
        </w:rPr>
        <w:t>Alytus</w:t>
      </w:r>
    </w:p>
    <w:p w14:paraId="0BC9B942" w14:textId="77777777">
      <w:pPr>
        <w:jc w:val="center"/>
        <w:rPr>
          <w:rFonts w:ascii="Arial" w:hAnsi="Arial" w:cs="Arial"/>
          <w:szCs w:val="24"/>
          <w:vertAlign w:val="superscript"/>
          <w:lang w:eastAsia="lt-LT"/>
        </w:rPr>
      </w:pPr>
    </w:p>
    <w:p w14:paraId="65AE4134" w14:textId="77777777">
      <w:pPr>
        <w:jc w:val="center"/>
        <w:rPr>
          <w:rFonts w:ascii="Arial" w:hAnsi="Arial" w:cs="Arial"/>
          <w:szCs w:val="24"/>
          <w:lang w:eastAsia="lt-LT"/>
        </w:rPr>
      </w:pPr>
    </w:p>
    <w:p w14:paraId="2E96A613" w14:textId="77777777">
      <w:pPr>
        <w:jc w:val="center"/>
        <w:rPr>
          <w:rFonts w:ascii="Arial" w:hAnsi="Arial" w:cs="Arial"/>
          <w:szCs w:val="24"/>
          <w:lang w:eastAsia="lt-LT"/>
        </w:rPr>
      </w:pPr>
    </w:p>
    <w:p w14:paraId="1D66E188" w14:textId="735130DB">
      <w:pPr>
        <w:ind w:firstLine="1298"/>
        <w:jc w:val="both"/>
        <w:rPr>
          <w:rFonts w:ascii="Arial" w:hAnsi="Arial" w:cs="Arial"/>
          <w:b/>
          <w:bCs/>
          <w:szCs w:val="24"/>
          <w:lang w:eastAsia="lt-LT"/>
        </w:rPr>
      </w:pPr>
      <w:r>
        <w:rPr>
          <w:rFonts w:ascii="Arial" w:hAnsi="Arial" w:cs="Arial"/>
          <w:szCs w:val="24"/>
        </w:rPr>
        <w:t>Atsižvelgiant į 2024-10-17 Lietuvos Respublikos valstybės ir savivaldybių turto valdymo, naudojimo ir disponavimo juo įstatymo Nr. VIII-729 2, 14, 20 ir 22 straipsnių pakeitimo įstatymą Nr. XIV-3044, parengtas šis sprendimo projektas, kurio tikslas – pakeisti Alytaus miesto savivaldybės ir valstybės turto valdymo, naudojimo ir disponavimo juo tvarkos aprašo, patvirtinto Alytaus miesto savivaldybės tarybos 2019-01-30 sprendimu </w:t>
      </w:r>
      <w:r>
        <w:rPr>
          <w:rFonts w:ascii="Arial" w:hAnsi="Arial" w:cs="Arial"/>
          <w:color w:val="0000FF"/>
          <w:szCs w:val="24"/>
          <w:u w:val="single"/>
        </w:rPr>
        <w:t>Nr. T-14</w:t>
      </w:r>
      <w:r>
        <w:rPr>
          <w:rFonts w:ascii="Arial" w:hAnsi="Arial" w:cs="Arial"/>
          <w:szCs w:val="24"/>
        </w:rPr>
        <w:t> „Dėl Alytaus miesto savivaldybės ir valstybės turto valdymo, naudojimo ir disponavimo juo tvarkos aprašo patvirtinimo“, 16.3.3, 16.3.4 ir 16.7 papunkčius.</w:t>
      </w:r>
    </w:p>
    <w:p w14:paraId="2481E9B5" w14:textId="7BC33555">
      <w:pPr>
        <w:ind w:firstLine="1298"/>
        <w:rPr>
          <w:rFonts w:ascii="Arial" w:hAnsi="Arial" w:cs="Arial"/>
          <w:b/>
          <w:bCs/>
          <w:szCs w:val="24"/>
          <w:lang w:eastAsia="lt-LT"/>
        </w:rPr>
      </w:pPr>
      <w:r>
        <w:rPr>
          <w:rFonts w:ascii="Arial" w:hAnsi="Arial" w:cs="Arial"/>
          <w:b/>
          <w:bCs/>
          <w:szCs w:val="24"/>
          <w:lang w:eastAsia="lt-LT"/>
        </w:rPr>
        <w:t xml:space="preserve">Aprašo </w:t>
      </w:r>
      <w:r>
        <w:rPr>
          <w:rFonts w:ascii="Arial" w:hAnsi="Arial" w:cs="Arial"/>
          <w:b/>
          <w:bCs/>
          <w:szCs w:val="24"/>
        </w:rPr>
        <w:t>16.3.3</w:t>
      </w:r>
      <w:r>
        <w:rPr>
          <w:rFonts w:ascii="Arial" w:hAnsi="Arial" w:cs="Arial"/>
          <w:b/>
          <w:bCs/>
          <w:szCs w:val="24"/>
          <w:lang w:eastAsia="lt-LT"/>
        </w:rPr>
        <w:t xml:space="preserve"> papunkčio pakeitimų lyginamasis variantas:</w:t>
      </w:r>
    </w:p>
    <w:p w14:paraId="2751F44C" w14:textId="5FCC049C">
      <w:pPr>
        <w:ind w:firstLine="1298"/>
        <w:jc w:val="both"/>
        <w:rPr>
          <w:rFonts w:ascii="Arial" w:hAnsi="Arial" w:cs="Arial"/>
          <w:lang w:eastAsia="lt-LT"/>
        </w:rPr>
      </w:pPr>
      <w:r>
        <w:rPr>
          <w:rFonts w:ascii="Arial" w:hAnsi="Arial" w:cs="Arial"/>
          <w:lang w:eastAsia="lt-LT"/>
        </w:rPr>
        <w:t>„</w:t>
      </w:r>
      <w:r>
        <w:rPr>
          <w:rFonts w:ascii="Arial" w:hAnsi="Arial" w:cs="Arial"/>
          <w:szCs w:val="24"/>
        </w:rPr>
        <w:t>16.3.3</w:t>
      </w:r>
      <w:r>
        <w:rPr>
          <w:rFonts w:ascii="Arial" w:hAnsi="Arial" w:cs="Arial"/>
          <w:szCs w:val="24"/>
        </w:rPr>
        <w:t>.</w:t>
      </w:r>
      <w:r>
        <w:rPr>
          <w:rFonts w:ascii="Arial" w:hAnsi="Arial" w:cs="Arial"/>
          <w:lang w:eastAsia="lt-LT"/>
        </w:rPr>
        <w:t xml:space="preserve"> užtikrinti </w:t>
      </w:r>
      <w:r>
        <w:rPr>
          <w:rFonts w:ascii="Arial" w:hAnsi="Arial" w:cs="Arial"/>
          <w:strike/>
          <w:szCs w:val="24"/>
        </w:rPr>
        <w:t>neįgaliųjų</w:t>
      </w:r>
      <w:r>
        <w:rPr>
          <w:rFonts w:ascii="Arial" w:hAnsi="Arial" w:cs="Arial"/>
          <w:lang w:eastAsia="lt-LT"/>
        </w:rPr>
        <w:t xml:space="preserve"> </w:t>
      </w:r>
      <w:r>
        <w:rPr>
          <w:rFonts w:ascii="Arial" w:hAnsi="Arial" w:cs="Arial"/>
          <w:b/>
          <w:bCs/>
          <w:lang w:eastAsia="lt-LT"/>
        </w:rPr>
        <w:t>asmenų su negalia</w:t>
      </w:r>
      <w:r>
        <w:rPr>
          <w:rFonts w:ascii="Arial" w:hAnsi="Arial" w:cs="Arial"/>
          <w:lang w:eastAsia="lt-LT"/>
        </w:rPr>
        <w:t xml:space="preserve"> ar kitų socialinę atskirtį patiriančių asmenų grupių (prekybos žmonėmis aukų, asmenų, turinčių psichikos ir elgesio sutrikimų dėl psichoaktyviųjų medžiagų vartojimo, nuteistųjų ir asmenų, paleistų iš laisvės atėmimo vietų įstaigos, bei kitoms socialinę atskirtį patiriančių asmenų grupėms priklausančių asmenų) ir užsieniečių socialinę integraciją;“</w:t>
      </w:r>
    </w:p>
    <w:p w14:paraId="09C926D5" w14:textId="21727AA6">
      <w:pPr>
        <w:ind w:firstLine="1298"/>
        <w:rPr>
          <w:rFonts w:ascii="Arial" w:hAnsi="Arial" w:cs="Arial"/>
          <w:b/>
          <w:bCs/>
          <w:szCs w:val="24"/>
          <w:lang w:eastAsia="lt-LT"/>
        </w:rPr>
      </w:pPr>
      <w:r>
        <w:rPr>
          <w:rFonts w:ascii="Arial" w:hAnsi="Arial" w:cs="Arial"/>
          <w:b/>
          <w:bCs/>
          <w:szCs w:val="24"/>
          <w:lang w:eastAsia="lt-LT"/>
        </w:rPr>
        <w:t xml:space="preserve">Aprašo </w:t>
      </w:r>
      <w:r>
        <w:rPr>
          <w:rFonts w:ascii="Arial" w:hAnsi="Arial" w:cs="Arial"/>
          <w:b/>
          <w:bCs/>
          <w:szCs w:val="24"/>
        </w:rPr>
        <w:t>16.3.4</w:t>
      </w:r>
      <w:r>
        <w:rPr>
          <w:rFonts w:ascii="Arial" w:hAnsi="Arial" w:cs="Arial"/>
          <w:b/>
          <w:bCs/>
          <w:szCs w:val="24"/>
          <w:lang w:eastAsia="lt-LT"/>
        </w:rPr>
        <w:t xml:space="preserve"> papunkčio pakeitimų lyginamasis variantas:</w:t>
      </w:r>
    </w:p>
    <w:p w14:paraId="24D0BC80" w14:textId="64703627">
      <w:pPr>
        <w:ind w:firstLine="1276"/>
        <w:jc w:val="both"/>
        <w:rPr>
          <w:rFonts w:ascii="Arial" w:hAnsi="Arial" w:cs="Arial"/>
          <w:szCs w:val="24"/>
        </w:rPr>
      </w:pPr>
      <w:r>
        <w:rPr>
          <w:rFonts w:ascii="Arial" w:hAnsi="Arial" w:cs="Arial"/>
          <w:szCs w:val="24"/>
        </w:rPr>
        <w:t>„</w:t>
      </w:r>
      <w:r>
        <w:rPr>
          <w:rFonts w:ascii="Arial" w:hAnsi="Arial" w:cs="Arial"/>
          <w:szCs w:val="24"/>
          <w:lang w:eastAsia="lt-LT"/>
        </w:rPr>
        <w:t>16.3.4</w:t>
      </w:r>
      <w:r>
        <w:rPr>
          <w:rFonts w:ascii="Arial" w:hAnsi="Arial" w:cs="Arial"/>
          <w:szCs w:val="24"/>
        </w:rPr>
        <w:t xml:space="preserve">. teikti pagalbą ir (arba) socialines paslaugas asmenims, dėl amžiaus, </w:t>
      </w:r>
      <w:r>
        <w:rPr>
          <w:rFonts w:ascii="Arial" w:hAnsi="Arial" w:cs="Arial"/>
          <w:strike/>
          <w:szCs w:val="24"/>
        </w:rPr>
        <w:t>neįgalumo</w:t>
      </w:r>
      <w:r>
        <w:rPr>
          <w:rFonts w:ascii="Arial" w:hAnsi="Arial" w:cs="Arial"/>
          <w:szCs w:val="24"/>
        </w:rPr>
        <w:t xml:space="preserve"> </w:t>
      </w:r>
      <w:r>
        <w:rPr>
          <w:rFonts w:ascii="Arial" w:hAnsi="Arial" w:cs="Arial"/>
          <w:b/>
          <w:bCs/>
          <w:szCs w:val="24"/>
        </w:rPr>
        <w:t>negalios</w:t>
      </w:r>
      <w:r>
        <w:rPr>
          <w:rFonts w:ascii="Arial" w:hAnsi="Arial" w:cs="Arial"/>
          <w:szCs w:val="24"/>
        </w:rPr>
        <w:t xml:space="preserve"> ar kitų socialinių problemų negalintiems pasirūpinti savo asmeniniu gyvenimu ir dalyvauti visuomenės gyvenime ar patiriantiems skurdą ir socialinę atskirtį;“</w:t>
      </w:r>
    </w:p>
    <w:p w14:paraId="4076C3A2" w14:textId="2CB8B32E">
      <w:pPr>
        <w:ind w:firstLine="1298"/>
        <w:rPr>
          <w:rFonts w:ascii="Arial" w:hAnsi="Arial" w:cs="Arial"/>
          <w:b/>
          <w:bCs/>
          <w:szCs w:val="24"/>
          <w:lang w:eastAsia="lt-LT"/>
        </w:rPr>
      </w:pPr>
      <w:r>
        <w:rPr>
          <w:rFonts w:ascii="Arial" w:hAnsi="Arial" w:cs="Arial"/>
          <w:b/>
          <w:bCs/>
          <w:szCs w:val="24"/>
          <w:lang w:eastAsia="lt-LT"/>
        </w:rPr>
        <w:t>Aprašo 16.7 papunkčio pakeitimų lyginamasis variantas:</w:t>
      </w:r>
    </w:p>
    <w:p w14:paraId="7EB448F4" w14:textId="4C1C813A">
      <w:pPr>
        <w:ind w:firstLine="1276"/>
        <w:jc w:val="both"/>
        <w:rPr>
          <w:rFonts w:ascii="Arial" w:hAnsi="Arial" w:cs="Arial"/>
          <w:lang w:eastAsia="lt-LT"/>
        </w:rPr>
      </w:pPr>
      <w:r>
        <w:rPr>
          <w:rFonts w:ascii="Arial" w:hAnsi="Arial" w:cs="Arial"/>
          <w:lang w:eastAsia="lt-LT"/>
        </w:rPr>
        <w:t>„</w:t>
      </w:r>
      <w:r>
        <w:rPr>
          <w:rFonts w:ascii="Arial" w:hAnsi="Arial" w:cs="Arial"/>
          <w:lang w:eastAsia="lt-LT"/>
        </w:rPr>
        <w:t>16.7</w:t>
      </w:r>
      <w:r>
        <w:rPr>
          <w:rFonts w:ascii="Arial" w:hAnsi="Arial" w:cs="Arial"/>
          <w:lang w:eastAsia="lt-LT"/>
        </w:rPr>
        <w:t xml:space="preserve">. kitiems subjektams, jeigu tokio perdavimo tvarka ir sąlygos nustatytos Lietuvos Respublikos Prezidento įstatyme, Lietuvos Respublikos </w:t>
      </w:r>
      <w:r>
        <w:rPr>
          <w:rFonts w:ascii="Arial" w:hAnsi="Arial" w:cs="Arial"/>
          <w:strike/>
          <w:lang w:eastAsia="lt-LT"/>
        </w:rPr>
        <w:t>neįgaliųjų socialinės integracijos</w:t>
      </w:r>
      <w:r>
        <w:rPr>
          <w:rFonts w:ascii="Arial" w:hAnsi="Arial" w:cs="Arial"/>
          <w:lang w:eastAsia="lt-LT"/>
        </w:rPr>
        <w:t xml:space="preserve"> </w:t>
      </w:r>
      <w:r>
        <w:rPr>
          <w:rFonts w:ascii="Arial" w:hAnsi="Arial" w:cs="Arial"/>
          <w:b/>
          <w:bCs/>
          <w:lang w:eastAsia="lt-LT"/>
        </w:rPr>
        <w:t>asmens su negalia teisių apsaugos pagrindų</w:t>
      </w:r>
      <w:r>
        <w:rPr>
          <w:rFonts w:ascii="Arial" w:hAnsi="Arial" w:cs="Arial"/>
          <w:lang w:eastAsia="lt-LT"/>
        </w:rPr>
        <w:t xml:space="preserve"> įstatyme, Lietuvos Respublikos švietimo įstatyme, Lietuvos Respublikos šeimynų įstatyme, </w:t>
      </w:r>
      <w:r>
        <w:rPr>
          <w:rFonts w:ascii="Arial" w:hAnsi="Arial" w:cs="Arial"/>
          <w:strike/>
          <w:lang w:eastAsia="lt-LT"/>
        </w:rPr>
        <w:t>Lietuvos Respublikos koncesijų įstatyme,</w:t>
      </w:r>
      <w:r>
        <w:rPr>
          <w:rFonts w:ascii="Arial" w:hAnsi="Arial" w:cs="Arial"/>
          <w:lang w:eastAsia="lt-LT"/>
        </w:rPr>
        <w:t xml:space="preserve"> Lietuvos Respublikos Lietuvos šaulių sąjungos įstatyme, Lietuvos Respublikos investicijų įstatyme, Lietuvos Respublikos valstybės įmonės Lietuvos oro uostų valdomų oro uostų koncesijos įstatyme, Lietuvos Respublikos įstatyme „Dėl užsieniečių teisinės padėties“, Lietuvos Respublikos tarptautinėse sutartyse ar tarptautiniuose susitarimuose.“</w:t>
      </w:r>
    </w:p>
    <w:p w14:paraId="4E26E9C8" w14:textId="77777777">
      <w:pPr>
        <w:widowControl w:val="0"/>
        <w:tabs>
          <w:tab w:val="left" w:pos="0"/>
        </w:tabs>
        <w:ind w:firstLine="1298"/>
        <w:jc w:val="both"/>
        <w:rPr>
          <w:rFonts w:ascii="Arial" w:hAnsi="Arial" w:cs="Arial"/>
          <w:lang w:eastAsia="lt-LT"/>
        </w:rPr>
      </w:pPr>
    </w:p>
    <w:p w14:paraId="4076C3A5" w14:textId="259CF4C7">
      <w:pPr>
        <w:ind w:firstLine="1296"/>
        <w:jc w:val="both"/>
        <w:rPr>
          <w:rFonts w:ascii="Arial" w:hAnsi="Arial" w:cs="Arial"/>
          <w:szCs w:val="24"/>
          <w:lang w:eastAsia="lt-LT"/>
        </w:rPr>
      </w:pPr>
    </w:p>
    <w:p w14:paraId="047699ED" w14:textId="77777777">
      <w:pPr>
        <w:ind w:firstLine="1296"/>
        <w:jc w:val="both"/>
        <w:rPr>
          <w:rFonts w:ascii="Arial" w:hAnsi="Arial" w:cs="Arial"/>
          <w:szCs w:val="24"/>
          <w:lang w:eastAsia="lt-LT"/>
        </w:rPr>
      </w:pPr>
    </w:p>
    <w:p w14:paraId="5EA8C18B" w14:textId="77777777">
      <w:pPr>
        <w:ind w:firstLine="1296"/>
        <w:jc w:val="both"/>
        <w:rPr>
          <w:rFonts w:ascii="Arial" w:hAnsi="Arial" w:cs="Arial"/>
          <w:szCs w:val="24"/>
          <w:lang w:eastAsia="lt-LT"/>
        </w:rPr>
      </w:pPr>
    </w:p>
    <w:p w14:paraId="5E4BD23B" w14:textId="77777777">
      <w:pPr>
        <w:ind w:firstLine="1296"/>
        <w:jc w:val="both"/>
        <w:rPr>
          <w:rFonts w:ascii="Arial" w:hAnsi="Arial" w:cs="Arial"/>
          <w:szCs w:val="24"/>
          <w:lang w:eastAsia="lt-LT"/>
        </w:rPr>
      </w:pPr>
    </w:p>
    <w:p w14:paraId="5F3776EA" w14:textId="77777777">
      <w:pPr>
        <w:ind w:firstLine="1296"/>
        <w:jc w:val="both"/>
        <w:rPr>
          <w:rFonts w:ascii="Arial" w:hAnsi="Arial" w:cs="Arial"/>
          <w:szCs w:val="24"/>
          <w:lang w:eastAsia="lt-LT"/>
        </w:rPr>
      </w:pPr>
    </w:p>
    <w:p w14:paraId="5981C168" w14:textId="77777777">
      <w:pPr>
        <w:ind w:firstLine="1296"/>
        <w:jc w:val="both"/>
        <w:rPr>
          <w:rFonts w:ascii="Arial" w:hAnsi="Arial" w:cs="Arial"/>
          <w:szCs w:val="24"/>
          <w:lang w:eastAsia="lt-LT"/>
        </w:rPr>
      </w:pPr>
    </w:p>
    <w:p w14:paraId="0075DCD1" w14:textId="77777777">
      <w:pPr>
        <w:ind w:firstLine="1296"/>
        <w:jc w:val="both"/>
        <w:rPr>
          <w:rFonts w:ascii="Arial" w:hAnsi="Arial" w:cs="Arial"/>
          <w:szCs w:val="24"/>
          <w:lang w:eastAsia="lt-LT"/>
        </w:rPr>
      </w:pPr>
    </w:p>
    <w:p w14:paraId="4076C3BF" w14:textId="64E2ACFC">
      <w:pPr>
        <w:widowControl w:val="0"/>
        <w:tabs>
          <w:tab w:val="left" w:pos="1276"/>
        </w:tabs>
        <w:jc w:val="both"/>
        <w:rPr>
          <w:rFonts w:ascii="Arial" w:hAnsi="Arial" w:cs="Arial"/>
          <w:bCs/>
          <w:szCs w:val="24"/>
          <w:lang w:eastAsia="lt-LT"/>
        </w:rPr>
      </w:pPr>
      <w:r>
        <w:rPr>
          <w:rFonts w:ascii="Arial" w:hAnsi="Arial" w:cs="Arial"/>
          <w:szCs w:val="24"/>
          <w:lang w:eastAsia="lt-LT"/>
        </w:rPr>
        <w:t>Patarėja Neringa Sedaitė</w:t>
      </w:r>
      <w:r>
        <w:rPr>
          <w:rFonts w:ascii="Arial" w:hAnsi="Arial" w:cs="Arial"/>
          <w:bCs/>
          <w:szCs w:val="24"/>
          <w:lang w:eastAsia="lt-LT"/>
        </w:rPr>
        <w:t>, t</w:t>
      </w:r>
      <w:r>
        <w:rPr>
          <w:rFonts w:ascii="Arial" w:eastAsia="Calibri" w:hAnsi="Arial" w:cs="Arial"/>
          <w:szCs w:val="22"/>
        </w:rPr>
        <w:t>el. (0 315) 55 139, +370 620 24409, el. p. neringa.sedaite@alytus.lt</w:t>
      </w:r>
    </w:p>
    <w:sectPr>
      <w:headerReference w:type="even" r:id="rId10"/>
      <w:headerReference w:type="default" r:id="rId11"/>
      <w:footerReference w:type="even" r:id="rId12"/>
      <w:footerReference w:type="default" r:id="rId13"/>
      <w:headerReference w:type="first" r:id="rId14"/>
      <w:footerReference w:type="first" r:id="rId15"/>
      <w:pgSz w:w="11906" w:h="16838" w:code="9"/>
      <w:pgMar w:top="1134" w:right="567" w:bottom="1134" w:left="1701" w:header="567" w:footer="567" w:gutter="0"/>
      <w:cols w:space="1296"/>
      <w:titlePg/>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BCD8D" w14:textId="77777777">
      <w:pPr>
        <w:rPr>
          <w:rFonts w:ascii="Calibri" w:eastAsia="Calibri" w:hAnsi="Calibri"/>
          <w:sz w:val="22"/>
          <w:szCs w:val="22"/>
        </w:rPr>
      </w:pPr>
      <w:r>
        <w:rPr>
          <w:rFonts w:ascii="Calibri" w:eastAsia="Calibri" w:hAnsi="Calibri"/>
          <w:sz w:val="22"/>
          <w:szCs w:val="22"/>
        </w:rPr>
        <w:separator/>
      </w:r>
    </w:p>
  </w:endnote>
  <w:endnote w:type="continuationSeparator" w:id="0">
    <w:p w14:paraId="4441FC13" w14:textId="77777777">
      <w:pPr>
        <w:rPr>
          <w:rFonts w:ascii="Calibri" w:eastAsia="Calibri" w:hAnsi="Calibri"/>
          <w:sz w:val="22"/>
          <w:szCs w:val="22"/>
        </w:rPr>
      </w:pPr>
      <w:r>
        <w:rPr>
          <w:rFonts w:ascii="Calibri" w:eastAsia="Calibri" w:hAnsi="Calibri"/>
          <w:sz w:val="22"/>
          <w:szCs w:val="22"/>
        </w:rPr>
        <w:continuationSeparator/>
      </w:r>
    </w:p>
  </w:endnote>
  <w:endnote w:type="continuationNotice" w:id="1">
    <w:p w14:paraId="77CCA282" w14:textId="77777777">
      <w:pPr>
        <w:rPr>
          <w:rFonts w:ascii="Calibri" w:eastAsia="Calibri" w:hAnsi="Calibri"/>
          <w:sz w:val="22"/>
          <w:szCs w:val="22"/>
        </w:rPr>
      </w:pP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7CD00" w14:textId="77777777">
    <w:pPr>
      <w:tabs>
        <w:tab w:val="center" w:pos="4819"/>
        <w:tab w:val="right" w:pos="9638"/>
      </w:tabs>
      <w:rPr>
        <w:rFonts w:ascii="Calibri" w:eastAsia="Calibri" w:hAnsi="Calibri"/>
        <w:sz w:val="22"/>
        <w:szCs w:val="22"/>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911E9" w14:textId="77777777">
    <w:pPr>
      <w:tabs>
        <w:tab w:val="center" w:pos="4819"/>
        <w:tab w:val="right" w:pos="9638"/>
      </w:tabs>
      <w:rPr>
        <w:rFonts w:ascii="Calibri" w:eastAsia="Calibri" w:hAnsi="Calibri"/>
        <w:sz w:val="22"/>
        <w:szCs w:val="22"/>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DA4D9" w14:textId="77777777">
    <w:pPr>
      <w:tabs>
        <w:tab w:val="center" w:pos="4819"/>
        <w:tab w:val="right" w:pos="9638"/>
      </w:tabs>
      <w:rPr>
        <w:rFonts w:ascii="Calibri" w:eastAsia="Calibri" w:hAnsi="Calibri"/>
        <w:sz w:val="22"/>
        <w:szCs w:val="22"/>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DD0F2" w14:textId="77777777">
      <w:pPr>
        <w:rPr>
          <w:rFonts w:ascii="Calibri" w:eastAsia="Calibri" w:hAnsi="Calibri"/>
          <w:sz w:val="22"/>
          <w:szCs w:val="22"/>
        </w:rPr>
      </w:pPr>
      <w:r>
        <w:rPr>
          <w:rFonts w:ascii="Calibri" w:eastAsia="Calibri" w:hAnsi="Calibri"/>
          <w:sz w:val="22"/>
          <w:szCs w:val="22"/>
        </w:rPr>
        <w:separator/>
      </w:r>
    </w:p>
  </w:footnote>
  <w:footnote w:type="continuationSeparator" w:id="0">
    <w:p w14:paraId="0402E683" w14:textId="77777777">
      <w:pPr>
        <w:rPr>
          <w:rFonts w:ascii="Calibri" w:eastAsia="Calibri" w:hAnsi="Calibri"/>
          <w:sz w:val="22"/>
          <w:szCs w:val="22"/>
        </w:rPr>
      </w:pPr>
      <w:r>
        <w:rPr>
          <w:rFonts w:ascii="Calibri" w:eastAsia="Calibri" w:hAnsi="Calibri"/>
          <w:sz w:val="22"/>
          <w:szCs w:val="22"/>
        </w:rPr>
        <w:continuationSeparator/>
      </w:r>
    </w:p>
  </w:footnote>
  <w:footnote w:type="continuationNotice" w:id="1">
    <w:p w14:paraId="10DF207C" w14:textId="77777777">
      <w:pPr>
        <w:rPr>
          <w:rFonts w:ascii="Calibri" w:eastAsia="Calibri" w:hAnsi="Calibri"/>
          <w:sz w:val="22"/>
          <w:szCs w:val="22"/>
        </w:rPr>
      </w:pP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4BCF1" w14:textId="77777777">
    <w:pPr>
      <w:tabs>
        <w:tab w:val="center" w:pos="4819"/>
        <w:tab w:val="right" w:pos="9638"/>
      </w:tabs>
      <w:rPr>
        <w:rFonts w:ascii="Calibri" w:eastAsia="Calibri" w:hAnsi="Calibri"/>
        <w:sz w:val="22"/>
        <w:szCs w:val="22"/>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1050" w14:textId="77777777">
    <w:pPr>
      <w:tabs>
        <w:tab w:val="center" w:pos="4819"/>
        <w:tab w:val="right" w:pos="9638"/>
      </w:tabs>
      <w:rPr>
        <w:rFonts w:ascii="Calibri" w:eastAsia="Calibri" w:hAnsi="Calibri"/>
        <w:sz w:val="22"/>
        <w:szCs w:val="22"/>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6D28F" w14:textId="77777777">
    <w:pPr>
      <w:tabs>
        <w:tab w:val="center" w:pos="4819"/>
        <w:tab w:val="right" w:pos="9638"/>
      </w:tabs>
      <w:rPr>
        <w:rFonts w:ascii="Calibri" w:eastAsia="Calibri" w:hAnsi="Calibri"/>
        <w:sz w:val="22"/>
        <w:szCs w:val="22"/>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1296"/>
  <w:hyphenationZone w:val="396"/>
  <w:doNotHyphenateCap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55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C363"/>
  <w15:docId w15:val="{7F140D81-E0A2-4323-89C9-819EE33DB31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6368983">
      <w:bodyDiv w:val="1"/>
      <w:marLeft w:val="0"/>
      <w:marRight w:val="0"/>
      <w:marTop w:val="0"/>
      <w:marBottom w:val="0"/>
      <w:divBdr>
        <w:top w:val="none" w:sz="0" w:space="0" w:color="auto"/>
        <w:left w:val="none" w:sz="0" w:space="0" w:color="auto"/>
        <w:bottom w:val="none" w:sz="0" w:space="0" w:color="auto"/>
        <w:right w:val="none" w:sz="0" w:space="0" w:color="auto"/>
      </w:divBdr>
    </w:div>
    <w:div w:id="310259748">
      <w:bodyDiv w:val="1"/>
      <w:marLeft w:val="0"/>
      <w:marRight w:val="0"/>
      <w:marTop w:val="0"/>
      <w:marBottom w:val="0"/>
      <w:divBdr>
        <w:top w:val="none" w:sz="0" w:space="0" w:color="auto"/>
        <w:left w:val="none" w:sz="0" w:space="0" w:color="auto"/>
        <w:bottom w:val="none" w:sz="0" w:space="0" w:color="auto"/>
        <w:right w:val="none" w:sz="0" w:space="0" w:color="auto"/>
      </w:divBdr>
    </w:div>
    <w:div w:id="720830708">
      <w:bodyDiv w:val="1"/>
      <w:marLeft w:val="0"/>
      <w:marRight w:val="0"/>
      <w:marTop w:val="0"/>
      <w:marBottom w:val="0"/>
      <w:divBdr>
        <w:top w:val="none" w:sz="0" w:space="0" w:color="auto"/>
        <w:left w:val="none" w:sz="0" w:space="0" w:color="auto"/>
        <w:bottom w:val="none" w:sz="0" w:space="0" w:color="auto"/>
        <w:right w:val="none" w:sz="0" w:space="0" w:color="auto"/>
      </w:divBdr>
    </w:div>
    <w:div w:id="764686531">
      <w:bodyDiv w:val="1"/>
      <w:marLeft w:val="0"/>
      <w:marRight w:val="0"/>
      <w:marTop w:val="0"/>
      <w:marBottom w:val="0"/>
      <w:divBdr>
        <w:top w:val="none" w:sz="0" w:space="0" w:color="auto"/>
        <w:left w:val="none" w:sz="0" w:space="0" w:color="auto"/>
        <w:bottom w:val="none" w:sz="0" w:space="0" w:color="auto"/>
        <w:right w:val="none" w:sz="0" w:space="0" w:color="auto"/>
      </w:divBdr>
    </w:div>
    <w:div w:id="983001015">
      <w:bodyDiv w:val="1"/>
      <w:marLeft w:val="0"/>
      <w:marRight w:val="0"/>
      <w:marTop w:val="0"/>
      <w:marBottom w:val="0"/>
      <w:divBdr>
        <w:top w:val="none" w:sz="0" w:space="0" w:color="auto"/>
        <w:left w:val="none" w:sz="0" w:space="0" w:color="auto"/>
        <w:bottom w:val="none" w:sz="0" w:space="0" w:color="auto"/>
        <w:right w:val="none" w:sz="0" w:space="0" w:color="auto"/>
      </w:divBdr>
    </w:div>
    <w:div w:id="1403874131">
      <w:bodyDiv w:val="1"/>
      <w:marLeft w:val="0"/>
      <w:marRight w:val="0"/>
      <w:marTop w:val="0"/>
      <w:marBottom w:val="0"/>
      <w:divBdr>
        <w:top w:val="none" w:sz="0" w:space="0" w:color="auto"/>
        <w:left w:val="none" w:sz="0" w:space="0" w:color="auto"/>
        <w:bottom w:val="none" w:sz="0" w:space="0" w:color="auto"/>
        <w:right w:val="none" w:sz="0" w:space="0" w:color="auto"/>
      </w:divBdr>
    </w:div>
    <w:div w:id="2145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fontTable" Target="fontTable.xml"/>
  <Relationship Id="rId17"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image" Target="media/image1.png"/>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94DE0-26C2-4CC9-AD5B-68B9A47D7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4547</Characters>
  <Application>Microsoft Office Word</Application>
  <DocSecurity>4</DocSecurity>
  <Lines>105</Lines>
  <Paragraphs>38</Paragraphs>
  <ScaleCrop>false</ScaleCrop>
  <HeadingPairs>
    <vt:vector size="2" baseType="variant">
      <vt:variant>
        <vt:lpstr>Pavadinimas</vt:lpstr>
      </vt:variant>
      <vt:variant>
        <vt:i4>1</vt:i4>
      </vt:variant>
    </vt:vector>
  </HeadingPairs>
  <TitlesOfParts>
    <vt:vector size="1" baseType="lpstr">
      <vt:lpstr/>
    </vt:vector>
  </TitlesOfParts>
  <Manager>2024-11-05</Manager>
  <Company>Hewlett-Packard Company</Company>
  <LinksUpToDate>false</LinksUpToDate>
  <CharactersWithSpaces>5132</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ategory>Projektas</category>
  <dcterms:created xsi:type="dcterms:W3CDTF">2024-11-27T09:11:00Z</dcterms:created>
  <dc:creator>ALYTAUS MIESTO SAVIVALDYBĖS TARYBA</dc:creator>
  <lastModifiedBy>adlibuser</lastModifiedBy>
  <lastPrinted>2013-02-27T06:11:00Z</lastPrinted>
  <dcterms:modified xsi:type="dcterms:W3CDTF">2024-11-27T09:11:00Z</dcterms:modified>
  <revision>2</revision>
  <dc:subject>TŽ-437</dc:subject>
  <dc:title>DĖL ALYTAUS MIESTO SAVIVALDYBĖS TARYBOS 2019-01-30 SPRENDIMO NR. T-14 „DĖL ALYTAUS MIESTO SAVIVALDYBĖS IR VALSTYBĖS TURTO VALDYMO, NAUDOJIMO IR DISPONAVIMO JUO TVARKOS APRAŠO PATVIRTINIMO“ PAKEITIMO</dc:title>
</coreProperties>
</file>