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15B9234D" w14:textId="77777777">
      <w:pPr>
        <w:tabs>
          <w:tab w:val="center" w:pos="4819"/>
          <w:tab w:val="right" w:pos="9638"/>
        </w:tabs>
        <w:rPr>
          <w:rFonts w:ascii="Calibri" w:eastAsia="Calibri" w:hAnsi="Calibri"/>
          <w:sz w:val="22"/>
          <w:szCs w:val="22"/>
        </w:rPr>
      </w:pPr>
    </w:p>
    <w:p w14:paraId="4076C363" w14:textId="61F784AC">
      <w:pPr>
        <w:widowControl w:val="0"/>
        <w:tabs>
          <w:tab w:val="left" w:pos="1298"/>
        </w:tabs>
        <w:jc w:val="right"/>
        <w:rPr>
          <w:rFonts w:ascii="Arial" w:hAnsi="Arial" w:cs="Arial"/>
          <w:b/>
          <w:szCs w:val="24"/>
          <w:lang w:eastAsia="lt-LT"/>
        </w:rPr>
      </w:pPr>
      <w:r>
        <w:rPr>
          <w:rFonts w:ascii="Arial" w:hAnsi="Arial" w:cs="Arial"/>
          <w:b/>
          <w:szCs w:val="24"/>
          <w:lang w:eastAsia="lt-LT"/>
        </w:rPr>
        <w:t>Projektas</w:t>
      </w:r>
    </w:p>
    <w:p w14:paraId="0B6DF581" w14:textId="3C716B9F">
      <w:pPr>
        <w:widowControl w:val="0"/>
        <w:tabs>
          <w:tab w:val="left" w:pos="1298"/>
        </w:tabs>
        <w:jc w:val="right"/>
        <w:rPr>
          <w:rFonts w:ascii="Arial" w:hAnsi="Arial" w:cs="Arial"/>
          <w:szCs w:val="24"/>
          <w:lang w:eastAsia="lt-LT"/>
        </w:rPr>
      </w:pPr>
      <w:r>
        <w:rPr>
          <w:rFonts w:ascii="Arial" w:hAnsi="Arial" w:cs="Arial"/>
          <w:szCs w:val="24"/>
          <w:lang w:eastAsia="lt-LT"/>
        </w:rPr>
        <w:t>2024-11-14 Nr. TŽ-457</w:t>
      </w:r>
    </w:p>
    <w:p w14:paraId="727C2023" w14:textId="77777777">
      <w:pPr>
        <w:jc w:val="center"/>
        <w:rPr>
          <w:rFonts w:ascii="Arial" w:eastAsia="Calibri" w:hAnsi="Arial" w:cs="Arial"/>
          <w:szCs w:val="24"/>
        </w:rPr>
      </w:pPr>
      <w:r>
        <w:rPr>
          <w:rFonts w:ascii="Arial" w:hAnsi="Arial" w:cs="Arial"/>
          <w:szCs w:val="24"/>
          <w:lang w:val="en-US"/>
        </w:rPr>
        <w:drawing>
          <wp:inline distT="0" distB="0" distL="0" distR="0" wp14:anchorId="4BE2D453" wp14:editId="57F84752">
            <wp:extent cx="438150" cy="49530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150" cy="495300"/>
                    </a:xfrm>
                    <a:prstGeom prst="rect">
                      <a:avLst/>
                    </a:prstGeom>
                    <a:noFill/>
                    <a:ln>
                      <a:noFill/>
                    </a:ln>
                  </pic:spPr>
                </pic:pic>
              </a:graphicData>
            </a:graphic>
          </wp:inline>
        </w:drawing>
      </w:r>
    </w:p>
    <w:p w14:paraId="1EE9CF8F" w14:textId="77777777">
      <w:pPr>
        <w:jc w:val="center"/>
        <w:rPr>
          <w:rFonts w:ascii="Arial" w:eastAsia="Calibri" w:hAnsi="Arial" w:cs="Arial"/>
          <w:szCs w:val="24"/>
        </w:rPr>
      </w:pPr>
    </w:p>
    <w:p w14:paraId="0ACC69B5" w14:textId="77777777">
      <w:pPr>
        <w:jc w:val="center"/>
        <w:rPr>
          <w:rFonts w:ascii="Arial" w:hAnsi="Arial" w:cs="Arial"/>
          <w:b/>
          <w:szCs w:val="24"/>
          <w:lang w:eastAsia="lt-LT"/>
        </w:rPr>
      </w:pPr>
      <w:r>
        <w:rPr>
          <w:rFonts w:ascii="Arial" w:hAnsi="Arial" w:cs="Arial"/>
          <w:b/>
          <w:szCs w:val="24"/>
          <w:lang w:eastAsia="lt-LT"/>
        </w:rPr>
        <w:t>ALYTAUS MIESTO SAVIVALDYBĖS TARYBA</w:t>
      </w:r>
    </w:p>
    <w:p w14:paraId="5F00068A" w14:textId="6FA9A3AE">
      <w:pPr>
        <w:jc w:val="center"/>
        <w:rPr>
          <w:rFonts w:ascii="Arial" w:hAnsi="Arial" w:cs="Arial"/>
          <w:b/>
          <w:szCs w:val="24"/>
          <w:lang w:eastAsia="lt-LT"/>
        </w:rPr>
      </w:pPr>
    </w:p>
    <w:p w14:paraId="59F94B50" w14:textId="77777777">
      <w:pPr>
        <w:jc w:val="center"/>
        <w:rPr>
          <w:rFonts w:ascii="Arial" w:hAnsi="Arial" w:cs="Arial"/>
          <w:b/>
          <w:szCs w:val="24"/>
          <w:lang w:eastAsia="lt-LT"/>
        </w:rPr>
      </w:pPr>
    </w:p>
    <w:p w14:paraId="26E11DDF" w14:textId="10FE266F">
      <w:pPr>
        <w:jc w:val="center"/>
        <w:rPr>
          <w:rFonts w:ascii="Arial" w:hAnsi="Arial" w:cs="Arial"/>
          <w:b/>
          <w:szCs w:val="24"/>
          <w:lang w:eastAsia="lt-LT"/>
        </w:rPr>
      </w:pPr>
      <w:r>
        <w:rPr>
          <w:rFonts w:ascii="Arial" w:hAnsi="Arial" w:cs="Arial"/>
          <w:b/>
          <w:szCs w:val="24"/>
          <w:lang w:eastAsia="lt-LT"/>
        </w:rPr>
        <w:t>SPRENDIMAS</w:t>
      </w:r>
    </w:p>
    <w:p w14:paraId="08A00352" w14:textId="3240EEA8">
      <w:pPr>
        <w:jc w:val="center"/>
        <w:rPr>
          <w:rFonts w:ascii="Arial" w:hAnsi="Arial" w:cs="Arial"/>
          <w:b/>
          <w:szCs w:val="24"/>
          <w:lang w:eastAsia="lt-LT"/>
        </w:rPr>
      </w:pPr>
      <w:r>
        <w:rPr>
          <w:rFonts w:ascii="Arial" w:hAnsi="Arial" w:cs="Arial"/>
          <w:b/>
          <w:szCs w:val="24"/>
          <w:lang w:eastAsia="lt-LT"/>
        </w:rPr>
        <w:t>DĖL ALYTAUS MIESTO SAVIVALDYBĖS TARYBOS 2015-07-30 SPRENDIMO NR. T-222 „DĖL ALYTAUS MIESTO SAVIVALDYBĖS BŪSTO NUOMOS AR IŠPERKAMOSIOS BŪSTO NUOMOS MOKESČIŲ DALIES KOMPENSACIJŲ MOKĖJIMO IR PERMOKĖTŲ KOMPENSACIJŲ GRĄŽINIMO TVARKOS APRAŠO TVIRTINIMO“ PAKEITIMO</w:t>
      </w:r>
    </w:p>
    <w:p w14:paraId="00106BA4" w14:textId="77777777">
      <w:pPr>
        <w:jc w:val="center"/>
        <w:rPr>
          <w:rFonts w:ascii="Arial" w:hAnsi="Arial" w:cs="Arial"/>
          <w:b/>
          <w:szCs w:val="24"/>
          <w:lang w:eastAsia="lt-LT"/>
        </w:rPr>
      </w:pPr>
    </w:p>
    <w:p w14:paraId="7DAC037A" w14:textId="478EDF06">
      <w:pPr>
        <w:jc w:val="center"/>
        <w:rPr>
          <w:rFonts w:ascii="Arial" w:hAnsi="Arial" w:cs="Arial"/>
          <w:szCs w:val="24"/>
          <w:lang w:eastAsia="lt-LT"/>
        </w:rPr>
      </w:pPr>
      <w:r>
        <w:rPr>
          <w:rFonts w:ascii="Arial" w:hAnsi="Arial" w:cs="Arial"/>
          <w:szCs w:val="24"/>
          <w:lang w:eastAsia="lt-LT"/>
        </w:rPr>
        <w:t>      Nr. T-</w:t>
      </w:r>
    </w:p>
    <w:p w14:paraId="4B0E6358" w14:textId="77777777">
      <w:pPr>
        <w:jc w:val="center"/>
        <w:rPr>
          <w:rFonts w:ascii="Arial" w:hAnsi="Arial" w:cs="Arial"/>
          <w:szCs w:val="24"/>
          <w:lang w:eastAsia="lt-LT"/>
        </w:rPr>
      </w:pPr>
      <w:r>
        <w:rPr>
          <w:rFonts w:ascii="Arial" w:hAnsi="Arial" w:cs="Arial"/>
          <w:szCs w:val="24"/>
          <w:lang w:eastAsia="lt-LT"/>
        </w:rPr>
        <w:t>Alytus</w:t>
      </w:r>
    </w:p>
    <w:p w14:paraId="020602E9" w14:textId="7EE07395">
      <w:pPr>
        <w:jc w:val="center"/>
        <w:rPr>
          <w:rFonts w:ascii="Arial" w:hAnsi="Arial" w:cs="Arial"/>
          <w:szCs w:val="24"/>
          <w:lang w:eastAsia="lt-LT"/>
        </w:rPr>
      </w:pPr>
    </w:p>
    <w:p w14:paraId="03BF15F1" w14:textId="77777777">
      <w:pPr>
        <w:jc w:val="center"/>
        <w:rPr>
          <w:rFonts w:ascii="Arial" w:hAnsi="Arial" w:cs="Arial"/>
          <w:szCs w:val="24"/>
          <w:lang w:eastAsia="lt-LT"/>
        </w:rPr>
      </w:pPr>
    </w:p>
    <w:p w14:paraId="3BAA5340" w14:textId="77777777">
      <w:pPr>
        <w:jc w:val="center"/>
        <w:rPr>
          <w:rFonts w:ascii="Arial" w:hAnsi="Arial" w:cs="Arial"/>
          <w:szCs w:val="24"/>
          <w:lang w:eastAsia="lt-LT"/>
        </w:rPr>
      </w:pPr>
    </w:p>
    <w:p w14:paraId="7D5EBFC5" w14:textId="77A66CA9">
      <w:pPr>
        <w:ind w:firstLine="1298"/>
        <w:rPr>
          <w:rFonts w:ascii="Arial" w:hAnsi="Arial" w:cs="Arial"/>
          <w:szCs w:val="24"/>
        </w:rPr>
      </w:pPr>
      <w:r>
        <w:rPr>
          <w:rFonts w:ascii="Arial" w:hAnsi="Arial" w:cs="Arial"/>
          <w:szCs w:val="24"/>
        </w:rPr>
        <w:t xml:space="preserve">Vadovaudamasi Lietuvos Respublikos vietos savivaldos įstatymo 7 straipsnio 8 punkto 2 dalimi, Paramos būstui įsigyti ar išsinuomoti įstatymo 10,17 ir 18 straipsniais, Alytaus miesto savivaldybės taryba </w:t>
      </w:r>
      <w:r>
        <w:rPr>
          <w:rFonts w:ascii="Arial" w:hAnsi="Arial" w:cs="Arial"/>
          <w:spacing w:val="20"/>
          <w:szCs w:val="24"/>
        </w:rPr>
        <w:t>nusprendžia:</w:t>
      </w:r>
    </w:p>
    <w:p w14:paraId="36EFEC84" w14:textId="77777777">
      <w:pPr>
        <w:ind w:firstLine="1298"/>
        <w:rPr>
          <w:rFonts w:ascii="Arial" w:hAnsi="Arial" w:cs="Arial"/>
          <w:szCs w:val="24"/>
        </w:rPr>
      </w:pPr>
      <w:r>
        <w:rPr>
          <w:rFonts w:ascii="Arial" w:hAnsi="Arial" w:cs="Arial"/>
          <w:spacing w:val="20"/>
          <w:szCs w:val="24"/>
        </w:rPr>
        <w:t>Pakeisti</w:t>
      </w:r>
      <w:r>
        <w:rPr>
          <w:rFonts w:ascii="Arial" w:hAnsi="Arial" w:cs="Arial"/>
          <w:szCs w:val="24"/>
        </w:rPr>
        <w:t xml:space="preserve"> Alytaus miesto savivaldybės būsto nuomos ar išperkamosios būsto nuomos mokesčių dalies kompensacijų mokėjimo ir permokėtų kompensacijų grąžinimo tvarkos aprašą, patvirtintą Alytaus miesto savivaldybės tarybos 2015-07-30 sprendimu Nr. T-222 „</w:t>
      </w:r>
      <w:r>
        <w:rPr>
          <w:rFonts w:ascii="Arial" w:hAnsi="Arial" w:cs="Arial"/>
          <w:bCs/>
          <w:szCs w:val="24"/>
        </w:rPr>
        <w:t>Dėl Alytaus miesto savivaldybės būsto nuomos ar išperkamosios būsto nuomos mokesčių dalies kompensacijų mokėjimo ir permokėtų kompensacijų grąžinimo tvarkos aprašo tvirtinimo“:</w:t>
      </w:r>
    </w:p>
    <w:p w14:paraId="2D5158D9" w14:textId="4F229D48">
      <w:pPr>
        <w:ind w:firstLine="1298"/>
        <w:rPr>
          <w:rFonts w:ascii="Arial" w:hAnsi="Arial" w:cs="Arial"/>
          <w:szCs w:val="24"/>
        </w:rPr>
      </w:pPr>
      <w:r>
        <w:rPr>
          <w:rFonts w:ascii="Arial" w:hAnsi="Arial" w:cs="Arial"/>
          <w:szCs w:val="24"/>
        </w:rPr>
        <w:t>1</w:t>
      </w:r>
      <w:r>
        <w:rPr>
          <w:rFonts w:ascii="Arial" w:hAnsi="Arial" w:cs="Arial"/>
          <w:szCs w:val="24"/>
        </w:rPr>
        <w:t>. Pripažinti netekusiu galios aprašo 3.3 papunktį.</w:t>
      </w:r>
    </w:p>
    <w:p w14:paraId="24CA4EF5" w14:textId="77777777">
      <w:pPr>
        <w:ind w:firstLine="1298"/>
        <w:rPr>
          <w:rFonts w:ascii="Arial" w:hAnsi="Arial" w:cs="Arial"/>
          <w:szCs w:val="24"/>
        </w:rPr>
      </w:pPr>
      <w:r>
        <w:rPr>
          <w:rFonts w:ascii="Arial" w:hAnsi="Arial" w:cs="Arial"/>
          <w:szCs w:val="24"/>
        </w:rPr>
        <w:t>2</w:t>
      </w:r>
      <w:r>
        <w:rPr>
          <w:rFonts w:ascii="Arial" w:hAnsi="Arial" w:cs="Arial"/>
          <w:szCs w:val="24"/>
        </w:rPr>
        <w:t>. Pakeisti aprašo 11 punktą ir jį išdėstyti taip:</w:t>
      </w:r>
    </w:p>
    <w:p w14:paraId="0043C37B" w14:textId="01CB334C">
      <w:pPr>
        <w:ind w:firstLine="1298"/>
        <w:rPr>
          <w:rFonts w:ascii="Arial" w:hAnsi="Arial" w:cs="Arial"/>
          <w:szCs w:val="24"/>
        </w:rPr>
      </w:pPr>
      <w:r>
        <w:rPr>
          <w:rFonts w:ascii="Arial" w:hAnsi="Arial" w:cs="Arial"/>
          <w:szCs w:val="24"/>
        </w:rPr>
        <w:t>„</w:t>
      </w:r>
      <w:r>
        <w:rPr>
          <w:rFonts w:ascii="Arial" w:hAnsi="Arial" w:cs="Arial"/>
          <w:szCs w:val="24"/>
        </w:rPr>
        <w:t>11</w:t>
      </w:r>
      <w:r>
        <w:rPr>
          <w:rFonts w:ascii="Arial" w:hAnsi="Arial" w:cs="Arial"/>
          <w:szCs w:val="24"/>
        </w:rPr>
        <w:t xml:space="preserve">. Būsto nuomos ar išperkamosios būsto nuomos mokesčio dalies kompensacijos dydis apskaičiuojamas, iš būsto nuomos ar išperkamosios būsto nuomos sutartyje nurodyto būsto nuomos ar išperkamosios būsto nuomos mokesčio dydžio atimant  30 procentų būsto nuomos ar išperkamosios būsto nuomos sutartyje nurodyto būsto nuomos ar išperkamosios nuomos mokesčio dalį, kurią apmoka asmuo ar šeima  savo lėšomis, ir negali  viršyti 1 VRP dydžio vienam asmeniui ir 1 VRP x (1 + 0,2 x n) (kur n – šeimos narių skaičius) dydžio šeimai.“</w:t>
      </w:r>
    </w:p>
    <w:p w14:paraId="42AEFB2F" w14:textId="77777777">
      <w:pPr>
        <w:ind w:firstLine="1298"/>
        <w:rPr>
          <w:rFonts w:ascii="Arial" w:hAnsi="Arial" w:cs="Arial"/>
          <w:szCs w:val="24"/>
        </w:rPr>
      </w:pPr>
      <w:r>
        <w:rPr>
          <w:rFonts w:ascii="Arial" w:hAnsi="Arial" w:cs="Arial"/>
          <w:szCs w:val="24"/>
        </w:rPr>
        <w:t>Šis sprendimas gali būti skundžiamas Lietuvos Respublikos administracinių bylų teisenos įstatymo nustatyta tvarka.</w:t>
      </w:r>
    </w:p>
    <w:p w14:paraId="4076C380" w14:textId="77777777">
      <w:pPr>
        <w:ind w:firstLine="1296"/>
        <w:jc w:val="both"/>
        <w:rPr>
          <w:rFonts w:ascii="Arial" w:hAnsi="Arial" w:cs="Arial"/>
          <w:szCs w:val="24"/>
        </w:rPr>
      </w:pPr>
    </w:p>
    <w:p w14:paraId="4076C381" w14:textId="77777777">
      <w:pPr>
        <w:ind w:firstLine="1296"/>
        <w:jc w:val="both"/>
        <w:rPr>
          <w:rFonts w:ascii="Arial" w:hAnsi="Arial" w:cs="Arial"/>
          <w:szCs w:val="24"/>
        </w:rPr>
      </w:pPr>
    </w:p>
    <w:p w14:paraId="4076C382" w14:textId="067C360B">
      <w:pPr>
        <w:jc w:val="both"/>
        <w:rPr>
          <w:rFonts w:ascii="Arial" w:hAnsi="Arial" w:cs="Arial"/>
          <w:szCs w:val="24"/>
          <w:lang w:eastAsia="lt-LT"/>
        </w:rPr>
      </w:pPr>
      <w:r>
        <w:rPr>
          <w:rFonts w:ascii="Arial" w:hAnsi="Arial" w:cs="Arial"/>
          <w:szCs w:val="24"/>
          <w:lang w:eastAsia="lt-LT"/>
        </w:rPr>
        <w:t>Savivaldybės meras</w:t>
        <w:tab/>
        <w:tab/>
        <w:tab/>
        <w:t xml:space="preserve">                                          Nerijus Cesiulis</w:t>
      </w:r>
    </w:p>
    <w:p w14:paraId="4076C383" w14:textId="77777777">
      <w:pPr>
        <w:rPr>
          <w:rFonts w:ascii="Arial" w:hAnsi="Arial" w:cs="Arial"/>
          <w:szCs w:val="24"/>
          <w:lang w:eastAsia="lt-LT"/>
        </w:rPr>
      </w:pPr>
      <w:r>
        <w:rPr>
          <w:rFonts w:ascii="Arial" w:hAnsi="Arial" w:cs="Arial"/>
          <w:szCs w:val="24"/>
          <w:lang w:eastAsia="lt-LT"/>
        </w:rPr>
        <w:br w:type="page"/>
      </w:r>
    </w:p>
    <w:p w14:paraId="4076C390" w14:textId="77777777">
      <w:pPr>
        <w:jc w:val="center"/>
        <w:rPr>
          <w:rFonts w:ascii="Arial" w:hAnsi="Arial" w:cs="Arial"/>
          <w:szCs w:val="24"/>
          <w:lang w:eastAsia="lt-LT"/>
        </w:rPr>
      </w:pPr>
    </w:p>
    <w:p w14:paraId="3711896C" w14:textId="552CCBDA">
      <w:pPr>
        <w:rPr>
          <w:rFonts w:ascii="Arial" w:hAnsi="Arial" w:cs="Arial"/>
          <w:szCs w:val="24"/>
          <w:lang w:eastAsia="lt-LT"/>
        </w:rPr>
      </w:pPr>
      <w:r>
        <w:rPr>
          <w:rFonts w:ascii="Arial" w:hAnsi="Arial" w:cs="Arial"/>
          <w:szCs w:val="24"/>
          <w:lang w:eastAsia="lt-LT"/>
        </w:rPr>
        <w:t>Alytaus miesto savivaldybės tarybai</w:t>
      </w:r>
    </w:p>
    <w:p w14:paraId="3295544B" w14:textId="77777777">
      <w:pPr>
        <w:rPr>
          <w:rFonts w:ascii="Arial" w:hAnsi="Arial" w:cs="Arial"/>
          <w:szCs w:val="24"/>
          <w:lang w:eastAsia="lt-LT"/>
        </w:rPr>
      </w:pPr>
    </w:p>
    <w:p w14:paraId="2D0814F9" w14:textId="77777777">
      <w:pPr>
        <w:jc w:val="center"/>
        <w:rPr>
          <w:rFonts w:ascii="Arial" w:hAnsi="Arial" w:cs="Arial"/>
          <w:b/>
          <w:szCs w:val="24"/>
          <w:lang w:eastAsia="lt-LT"/>
        </w:rPr>
      </w:pPr>
    </w:p>
    <w:p w14:paraId="0C82BE5A" w14:textId="10DA980E">
      <w:pPr>
        <w:jc w:val="center"/>
        <w:rPr>
          <w:rFonts w:ascii="Arial" w:hAnsi="Arial" w:cs="Arial"/>
          <w:b/>
          <w:szCs w:val="24"/>
          <w:lang w:eastAsia="lt-LT"/>
        </w:rPr>
      </w:pPr>
      <w:r>
        <w:rPr>
          <w:rFonts w:ascii="Arial" w:hAnsi="Arial" w:cs="Arial"/>
          <w:b/>
          <w:szCs w:val="24"/>
          <w:lang w:eastAsia="lt-LT"/>
        </w:rPr>
        <w:t>SPRENDIMO</w:t>
      </w:r>
    </w:p>
    <w:p w14:paraId="25CFA2E1" w14:textId="0ECD30B4">
      <w:pPr>
        <w:jc w:val="center"/>
        <w:rPr>
          <w:rFonts w:ascii="Arial" w:hAnsi="Arial" w:cs="Arial"/>
          <w:b/>
          <w:szCs w:val="24"/>
          <w:lang w:eastAsia="lt-LT"/>
        </w:rPr>
      </w:pPr>
      <w:r>
        <w:rPr>
          <w:rFonts w:ascii="Arial" w:hAnsi="Arial" w:cs="Arial"/>
          <w:b/>
          <w:szCs w:val="24"/>
          <w:lang w:eastAsia="lt-LT"/>
        </w:rPr>
        <w:t>„DĖL ALYTAUS MIESTO SAVIVALDYBĖS TARYBOS 2015-07-30 SPRENDIMO NR. T-222 „DĖL ALYTAUS MIESTO SAVIVALDYBĖS BŪSTO NUOMOS AR IŠPERKAMOSIOS BŪSTO NUOMOS MOKESČIŲ DALIES KOMPENSACIJŲ MOKĖJIMO IR PERMOKĖTŲ KOMPENSACIJŲ GRĄŽINIMO TVARKOS APRAŠO TVIRTINIMO“ PAKEITIMO“</w:t>
      </w:r>
    </w:p>
    <w:p w14:paraId="75D24744" w14:textId="1F04E3A2">
      <w:pPr>
        <w:jc w:val="center"/>
        <w:rPr>
          <w:rFonts w:ascii="Arial" w:hAnsi="Arial" w:cs="Arial"/>
          <w:b/>
          <w:szCs w:val="24"/>
          <w:lang w:eastAsia="lt-LT"/>
        </w:rPr>
      </w:pPr>
      <w:r>
        <w:rPr>
          <w:rFonts w:ascii="Arial" w:hAnsi="Arial" w:cs="Arial"/>
          <w:b/>
          <w:szCs w:val="24"/>
          <w:lang w:eastAsia="lt-LT"/>
        </w:rPr>
        <w:t>PROJEKTO AIŠKINAMASIS RAŠTAS</w:t>
      </w:r>
    </w:p>
    <w:p w14:paraId="6C059E4B" w14:textId="77777777">
      <w:pPr>
        <w:jc w:val="center"/>
        <w:rPr>
          <w:rFonts w:ascii="Arial" w:hAnsi="Arial" w:cs="Arial"/>
          <w:b/>
          <w:szCs w:val="24"/>
          <w:lang w:eastAsia="lt-LT"/>
        </w:rPr>
      </w:pPr>
    </w:p>
    <w:p w14:paraId="646DE012" w14:textId="6E9636CA">
      <w:pPr>
        <w:jc w:val="center"/>
        <w:rPr>
          <w:rFonts w:ascii="Arial" w:hAnsi="Arial" w:cs="Arial"/>
          <w:szCs w:val="24"/>
          <w:lang w:eastAsia="lt-LT"/>
        </w:rPr>
      </w:pPr>
      <w:r>
        <w:rPr>
          <w:rFonts w:ascii="Arial" w:hAnsi="Arial" w:cs="Arial"/>
          <w:szCs w:val="24"/>
          <w:lang w:eastAsia="lt-LT"/>
        </w:rPr>
        <w:t>2024-11-07</w:t>
      </w:r>
    </w:p>
    <w:p w14:paraId="54D4BD3E" w14:textId="77777777">
      <w:pPr>
        <w:jc w:val="center"/>
        <w:rPr>
          <w:rFonts w:ascii="Arial" w:hAnsi="Arial" w:cs="Arial"/>
          <w:szCs w:val="24"/>
          <w:lang w:eastAsia="lt-LT"/>
        </w:rPr>
      </w:pPr>
      <w:r>
        <w:rPr>
          <w:rFonts w:ascii="Arial" w:hAnsi="Arial" w:cs="Arial"/>
          <w:szCs w:val="24"/>
          <w:lang w:eastAsia="lt-LT"/>
        </w:rPr>
        <w:t>Alytus</w:t>
      </w:r>
    </w:p>
    <w:p w14:paraId="0BC9B942" w14:textId="77777777">
      <w:pPr>
        <w:jc w:val="center"/>
        <w:rPr>
          <w:rFonts w:ascii="Arial" w:hAnsi="Arial" w:cs="Arial"/>
          <w:szCs w:val="24"/>
          <w:vertAlign w:val="superscript"/>
          <w:lang w:eastAsia="lt-LT"/>
        </w:rPr>
      </w:pPr>
    </w:p>
    <w:p w14:paraId="65AE4134" w14:textId="77777777">
      <w:pPr>
        <w:jc w:val="center"/>
        <w:rPr>
          <w:rFonts w:ascii="Arial" w:hAnsi="Arial" w:cs="Arial"/>
          <w:szCs w:val="24"/>
          <w:lang w:eastAsia="lt-LT"/>
        </w:rPr>
      </w:pPr>
    </w:p>
    <w:p w14:paraId="2E96A613" w14:textId="77777777">
      <w:pPr>
        <w:jc w:val="center"/>
        <w:rPr>
          <w:rFonts w:ascii="Arial" w:hAnsi="Arial" w:cs="Arial"/>
          <w:szCs w:val="24"/>
          <w:lang w:eastAsia="lt-LT"/>
        </w:rPr>
      </w:pPr>
    </w:p>
    <w:p w14:paraId="39103CB4" w14:textId="01DC731E">
      <w:pPr>
        <w:ind w:firstLine="1298"/>
        <w:rPr>
          <w:rFonts w:ascii="Arial" w:hAnsi="Arial" w:cs="Arial"/>
          <w:szCs w:val="24"/>
          <w:lang w:eastAsia="lt-LT"/>
        </w:rPr>
      </w:pPr>
      <w:r>
        <w:rPr>
          <w:rFonts w:ascii="Arial" w:hAnsi="Arial" w:cs="Arial"/>
          <w:szCs w:val="24"/>
          <w:lang w:eastAsia="lt-LT"/>
        </w:rPr>
        <w:t xml:space="preserve">2024-07-01 pakeisti Lietuvos Respublikos paramos būstui įsigyti ar išsinuomoti įstatymo (toliau – įstatymas) Nr. XIV 2454 10, 17 ir 18 straipsniai, kurie reglamentuoja naują  Būsto nuomos mokesčio dalies kompensacijos skyrimo ir apskaičiavimo tvarką.  </w:t>
      </w:r>
    </w:p>
    <w:p w14:paraId="3EF5A6F3" w14:textId="0138F33C">
      <w:pPr>
        <w:ind w:firstLine="1298"/>
        <w:rPr>
          <w:rFonts w:ascii="Arial" w:hAnsi="Arial" w:cs="Arial"/>
          <w:szCs w:val="24"/>
          <w:lang w:eastAsia="lt-LT"/>
        </w:rPr>
      </w:pPr>
      <w:r>
        <w:rPr>
          <w:rFonts w:ascii="Arial" w:hAnsi="Arial" w:cs="Arial"/>
          <w:szCs w:val="24"/>
          <w:lang w:eastAsia="lt-LT"/>
        </w:rPr>
        <w:t xml:space="preserve">Sprendimo projekto tikslas – pakeisti tvarkos aprašą punktais, reglamentuojančiais teisės nustatymą į būsto nuomos mokesčio dalies kompensaciją ir  jos apskaičiavimą, kadangi pakeista nuomos mokesčio dalies kompensacijos skyrimo sąlygos ir apskaičiavimo metodika. </w:t>
      </w:r>
    </w:p>
    <w:p w14:paraId="71127EC8" w14:textId="77777777">
      <w:pPr>
        <w:ind w:firstLine="2370"/>
        <w:rPr>
          <w:rFonts w:ascii="Arial" w:hAnsi="Arial" w:cs="Arial"/>
          <w:b/>
          <w:szCs w:val="24"/>
          <w:lang w:eastAsia="lt-LT"/>
        </w:rPr>
      </w:pPr>
    </w:p>
    <w:p w14:paraId="6D96BBEF" w14:textId="4987106D">
      <w:pPr>
        <w:ind w:firstLine="6122"/>
        <w:rPr>
          <w:rFonts w:ascii="Arial" w:hAnsi="Arial" w:cs="Arial"/>
          <w:b/>
          <w:szCs w:val="24"/>
          <w:lang w:eastAsia="lt-LT"/>
        </w:rPr>
      </w:pPr>
      <w:r>
        <w:rPr>
          <w:rFonts w:ascii="Arial" w:hAnsi="Arial" w:cs="Arial"/>
          <w:b/>
          <w:szCs w:val="24"/>
          <w:lang w:eastAsia="lt-LT"/>
        </w:rPr>
        <w:t xml:space="preserve">Projekto lyginamasis variantas </w:t>
      </w:r>
    </w:p>
    <w:p w14:paraId="4AB4B4A3" w14:textId="77777777">
      <w:pPr>
        <w:ind w:firstLine="1298"/>
        <w:rPr>
          <w:rFonts w:ascii="Arial" w:hAnsi="Arial" w:cs="Arial"/>
          <w:b/>
          <w:szCs w:val="24"/>
          <w:lang w:eastAsia="lt-LT"/>
        </w:rPr>
      </w:pPr>
    </w:p>
    <w:p w14:paraId="1182B1F3" w14:textId="77777777">
      <w:pPr>
        <w:ind w:firstLine="1298"/>
        <w:rPr>
          <w:rFonts w:ascii="Arial" w:hAnsi="Arial" w:cs="Arial"/>
          <w:b/>
          <w:szCs w:val="24"/>
          <w:lang w:eastAsia="lt-LT"/>
        </w:rPr>
      </w:pPr>
    </w:p>
    <w:p w14:paraId="5DF17DDC" w14:textId="77777777">
      <w:pPr>
        <w:jc w:val="center"/>
        <w:rPr>
          <w:rFonts w:ascii="Arial" w:hAnsi="Arial" w:cs="Arial"/>
          <w:szCs w:val="24"/>
          <w:lang w:eastAsia="lt-LT"/>
        </w:rPr>
      </w:pPr>
      <w:r>
        <w:rPr>
          <w:rFonts w:ascii="Arial" w:hAnsi="Arial" w:cs="Arial"/>
          <w:b/>
          <w:szCs w:val="24"/>
          <w:lang w:eastAsia="lt-LT"/>
        </w:rPr>
        <w:t xml:space="preserve">ALYTAUS MIESTO SAVIVALDYBĖS BŪSTO NUOMOS AR IŠPERKAMOSIOS BŪSTO NUOMOS MOKESČIŲ DALIES KOMPENSACIJŲ MOKĖJIMO IR PERMOKĖTŲ KOMPENSACIJŲ GRĄŽINIMO </w:t>
      </w:r>
      <w:r>
        <w:rPr>
          <w:rFonts w:ascii="Arial" w:hAnsi="Arial" w:cs="Arial"/>
          <w:b/>
          <w:szCs w:val="24"/>
          <w:lang w:val="x-none" w:eastAsia="lt-LT"/>
        </w:rPr>
        <w:t>TVARKOS APRAŠAS</w:t>
      </w:r>
    </w:p>
    <w:p w14:paraId="17545588" w14:textId="77777777">
      <w:pPr>
        <w:rPr>
          <w:rFonts w:ascii="Arial" w:hAnsi="Arial" w:cs="Arial"/>
          <w:b/>
          <w:szCs w:val="24"/>
          <w:lang w:eastAsia="lt-LT"/>
        </w:rPr>
      </w:pPr>
    </w:p>
    <w:p w14:paraId="1961FD14" w14:textId="77777777">
      <w:pPr>
        <w:jc w:val="center"/>
        <w:rPr>
          <w:rFonts w:ascii="Arial" w:hAnsi="Arial" w:cs="Arial"/>
          <w:b/>
          <w:szCs w:val="24"/>
          <w:lang w:eastAsia="lt-LT"/>
        </w:rPr>
      </w:pPr>
      <w:r>
        <w:rPr>
          <w:rFonts w:ascii="Arial" w:hAnsi="Arial" w:cs="Arial"/>
          <w:b/>
          <w:szCs w:val="24"/>
          <w:lang w:eastAsia="lt-LT"/>
        </w:rPr>
        <w:t>II</w:t>
      </w:r>
      <w:r>
        <w:rPr>
          <w:rFonts w:ascii="Arial" w:hAnsi="Arial" w:cs="Arial"/>
          <w:b/>
          <w:szCs w:val="24"/>
          <w:lang w:eastAsia="lt-LT"/>
        </w:rPr>
        <w:t xml:space="preserve"> SKYRIUS</w:t>
      </w:r>
    </w:p>
    <w:p w14:paraId="5F36A45B" w14:textId="77777777">
      <w:pPr>
        <w:jc w:val="center"/>
        <w:rPr>
          <w:rFonts w:ascii="Arial" w:hAnsi="Arial" w:cs="Arial"/>
          <w:b/>
          <w:szCs w:val="24"/>
          <w:lang w:eastAsia="lt-LT"/>
        </w:rPr>
      </w:pPr>
      <w:r>
        <w:rPr>
          <w:rFonts w:ascii="Arial" w:hAnsi="Arial" w:cs="Arial"/>
          <w:b/>
          <w:szCs w:val="24"/>
          <w:lang w:eastAsia="lt-LT"/>
        </w:rPr>
        <w:t>TEISĖ Į BŪSTO NUOMOS AR IŠPERKAMOSIOS BŪSTO NUOMOS MOKESČIŲ DALIES KOMPENSACIJAS</w:t>
      </w:r>
    </w:p>
    <w:p w14:paraId="4E4C2AD2" w14:textId="77777777">
      <w:pPr>
        <w:ind w:firstLine="1298"/>
        <w:rPr>
          <w:rFonts w:ascii="Arial" w:hAnsi="Arial" w:cs="Arial"/>
          <w:szCs w:val="24"/>
          <w:lang w:eastAsia="lt-LT"/>
        </w:rPr>
      </w:pPr>
    </w:p>
    <w:p w14:paraId="5B13AC7A" w14:textId="77777777">
      <w:pPr>
        <w:ind w:firstLine="1298"/>
        <w:rPr>
          <w:rFonts w:ascii="Arial" w:hAnsi="Arial" w:cs="Arial"/>
          <w:iCs/>
          <w:szCs w:val="24"/>
          <w:lang w:eastAsia="lt-LT"/>
        </w:rPr>
      </w:pPr>
      <w:r>
        <w:rPr>
          <w:rFonts w:ascii="Arial" w:hAnsi="Arial" w:cs="Arial"/>
          <w:szCs w:val="24"/>
          <w:lang w:eastAsia="lt-LT"/>
        </w:rPr>
        <w:t>3.3</w:t>
      </w:r>
      <w:r>
        <w:rPr>
          <w:rFonts w:ascii="Arial" w:hAnsi="Arial" w:cs="Arial"/>
          <w:szCs w:val="24"/>
          <w:lang w:eastAsia="lt-LT"/>
        </w:rPr>
        <w:t>.</w:t>
      </w:r>
      <w:r>
        <w:rPr>
          <w:rFonts w:ascii="Arial" w:hAnsi="Arial" w:cs="Arial"/>
          <w:strike/>
          <w:szCs w:val="24"/>
          <w:lang w:eastAsia="lt-LT"/>
        </w:rPr>
        <w:t xml:space="preserve"> Paramos būstui įsigyti ar išsinuomoti įstatyme nustatyta tvarka išsinuomojo fiziniams ar juridiniams asmenims (išskyrus savivaldybes) priklausantį būstą. Paramos būstui įsigyti ar išsinuomoti įstatymo 17 straipsnio 1 dalyje nustatyta tvarka išsinuomojo fiziniams asmenims (išskyrus asmens ar šeimos narių artimuosius giminaičius) ar juridiniams asmenims priklausantį būstą (išskyrus savivaldybei priklausantį būstą, švietimo įstaigų, mokslo ir studijų institucijų nuomojamus nuosavybės, patikėjimo, panaudos ar kita teise valdomus bendrabučius), jeigu apskaičiuotas metinis nuomojamo būsto nuomos sutartyje nurodytas būsto nuomos mokesčio dydis neviršija 60 procentų faktinių šio straipsnio 1 dalies 1 punkte nustatyta tvarka deklaruotų asmens ar šeimos pajamų.“</w:t>
      </w:r>
    </w:p>
    <w:p w14:paraId="72469044" w14:textId="77777777">
      <w:pPr>
        <w:jc w:val="center"/>
        <w:rPr>
          <w:rFonts w:ascii="Arial" w:hAnsi="Arial" w:cs="Arial"/>
          <w:szCs w:val="24"/>
          <w:lang w:eastAsia="lt-LT"/>
        </w:rPr>
      </w:pPr>
    </w:p>
    <w:p w14:paraId="72BAEFA3" w14:textId="77777777">
      <w:pPr>
        <w:jc w:val="center"/>
        <w:rPr>
          <w:rFonts w:ascii="Arial" w:hAnsi="Arial" w:cs="Arial"/>
          <w:b/>
          <w:szCs w:val="24"/>
          <w:lang w:eastAsia="lt-LT"/>
        </w:rPr>
      </w:pPr>
      <w:r>
        <w:rPr>
          <w:rFonts w:ascii="Arial" w:hAnsi="Arial" w:cs="Arial"/>
          <w:b/>
          <w:szCs w:val="24"/>
          <w:lang w:eastAsia="lt-LT"/>
        </w:rPr>
        <w:t>III</w:t>
      </w:r>
      <w:r>
        <w:rPr>
          <w:rFonts w:ascii="Arial" w:hAnsi="Arial" w:cs="Arial"/>
          <w:b/>
          <w:szCs w:val="24"/>
          <w:lang w:eastAsia="lt-LT"/>
        </w:rPr>
        <w:t xml:space="preserve"> SKYRIUS</w:t>
      </w:r>
    </w:p>
    <w:p w14:paraId="08882406" w14:textId="77777777">
      <w:pPr>
        <w:jc w:val="center"/>
        <w:rPr>
          <w:rFonts w:ascii="Arial" w:hAnsi="Arial" w:cs="Arial"/>
          <w:b/>
          <w:szCs w:val="24"/>
          <w:lang w:eastAsia="lt-LT"/>
        </w:rPr>
      </w:pPr>
      <w:r>
        <w:rPr>
          <w:rFonts w:ascii="Arial" w:hAnsi="Arial" w:cs="Arial"/>
          <w:b/>
          <w:szCs w:val="24"/>
          <w:lang w:eastAsia="lt-LT"/>
        </w:rPr>
        <w:t>BŪSTO NUOMOS AR IŠPERKAMOSIOS BŪSTO NUOMOS MOKESČIŲ DALIES KOMPENSAVIMO SĄLYGOS IR TVARKA</w:t>
      </w:r>
    </w:p>
    <w:p w14:paraId="69DAAB8E" w14:textId="77777777">
      <w:pPr>
        <w:ind w:firstLine="1298"/>
        <w:rPr>
          <w:rFonts w:ascii="Arial" w:hAnsi="Arial" w:cs="Arial"/>
          <w:b/>
          <w:szCs w:val="24"/>
          <w:lang w:eastAsia="lt-LT"/>
        </w:rPr>
      </w:pPr>
    </w:p>
    <w:p w14:paraId="04F45B54" w14:textId="00D7F428">
      <w:pPr>
        <w:ind w:firstLine="1298"/>
        <w:rPr>
          <w:rFonts w:ascii="Arial" w:hAnsi="Arial" w:cs="Arial"/>
          <w:szCs w:val="24"/>
          <w:lang w:eastAsia="lt-LT"/>
        </w:rPr>
      </w:pPr>
      <w:r>
        <w:rPr>
          <w:rFonts w:ascii="Arial" w:hAnsi="Arial" w:cs="Arial"/>
          <w:szCs w:val="24"/>
          <w:lang w:eastAsia="lt-LT"/>
        </w:rPr>
        <w:t>11</w:t>
      </w:r>
      <w:r>
        <w:rPr>
          <w:rFonts w:ascii="Arial" w:hAnsi="Arial" w:cs="Arial"/>
          <w:szCs w:val="24"/>
          <w:lang w:eastAsia="lt-LT"/>
        </w:rPr>
        <w:t xml:space="preserve">. Būsto nuomos ar išperkamosios būsto nuomos mokesčio dalies kompensacijos dydis – </w:t>
      </w:r>
      <w:r>
        <w:rPr>
          <w:rFonts w:ascii="Arial" w:hAnsi="Arial" w:cs="Arial"/>
          <w:strike/>
          <w:szCs w:val="24"/>
          <w:lang w:eastAsia="lt-LT"/>
        </w:rPr>
        <w:t>perskaičiuojamas pagal Vyriausybės patvirtintą bazinio būsto nuomos ar išperkamosios būsto nuomos mokesčio dalies kompensacijos dydžio perskaičiavimo koeficientą, nustatomą pagal vidutines būsto nuomos rinkos kainas, šeimos narių skaičių, ir atsižvelgiant į valstybės biudžeto galimybes gali būti perskaičiuojamas įvertinus vartotojų kainų indekso, kainų ir gyventojų pajamų pokyčius, kai šie pokyčiai didesni kaip 3 procentai</w:t>
      </w:r>
      <w:r>
        <w:rPr>
          <w:rFonts w:ascii="Arial" w:hAnsi="Arial" w:cs="Arial"/>
          <w:szCs w:val="24"/>
          <w:lang w:eastAsia="lt-LT"/>
        </w:rPr>
        <w:t xml:space="preserve">. </w:t>
      </w:r>
      <w:r>
        <w:rPr>
          <w:rFonts w:ascii="Arial" w:hAnsi="Arial" w:cs="Arial"/>
          <w:b/>
          <w:bCs/>
          <w:szCs w:val="24"/>
          <w:lang w:eastAsia="lt-LT"/>
        </w:rPr>
        <w:t>apskaičiuojamas, iš būsto nuomos ar išperkamosios būsto nuomos sutartyje nurodyto būsto nuomos ar išperkamosios būsto nuomos mokesčio dydžio atimant 30 </w:t>
      </w:r>
      <w:r>
        <w:rPr>
          <w:rFonts w:ascii="Arial" w:hAnsi="Arial" w:cs="Arial"/>
          <w:strike/>
          <w:szCs w:val="24"/>
          <w:lang w:eastAsia="lt-LT"/>
        </w:rPr>
        <w:t>40</w:t>
      </w:r>
      <w:r>
        <w:rPr>
          <w:rFonts w:ascii="Arial" w:hAnsi="Arial" w:cs="Arial"/>
          <w:b/>
          <w:bCs/>
          <w:strike/>
          <w:szCs w:val="24"/>
          <w:lang w:eastAsia="lt-LT"/>
        </w:rPr>
        <w:t xml:space="preserve"> </w:t>
      </w:r>
      <w:r>
        <w:rPr>
          <w:rFonts w:ascii="Arial" w:hAnsi="Arial" w:cs="Arial"/>
          <w:b/>
          <w:bCs/>
          <w:szCs w:val="24"/>
          <w:lang w:eastAsia="lt-LT"/>
        </w:rPr>
        <w:t>procentų būsto nuomos ar išperkamosios būsto nuomos mokesčio dalį, kurią apmoka asmuo ar šeima savo lėšomis </w:t>
      </w:r>
      <w:r>
        <w:rPr>
          <w:rFonts w:ascii="Arial" w:hAnsi="Arial" w:cs="Arial"/>
          <w:strike/>
          <w:szCs w:val="24"/>
          <w:lang w:eastAsia="lt-LT"/>
        </w:rPr>
        <w:t>pagal šio straipsnio 1 dalį apskaičiuotų asmens ar šeimos pajamų</w:t>
      </w:r>
      <w:r>
        <w:rPr>
          <w:rFonts w:ascii="Arial" w:hAnsi="Arial" w:cs="Arial"/>
          <w:szCs w:val="24"/>
          <w:lang w:eastAsia="lt-LT"/>
        </w:rPr>
        <w:t xml:space="preserve">, </w:t>
      </w:r>
      <w:r>
        <w:rPr>
          <w:rFonts w:ascii="Arial" w:hAnsi="Arial" w:cs="Arial"/>
          <w:b/>
          <w:bCs/>
          <w:szCs w:val="24"/>
          <w:lang w:eastAsia="lt-LT"/>
        </w:rPr>
        <w:t xml:space="preserve">ir negali viršyti </w:t>
      </w:r>
      <w:r>
        <w:rPr>
          <w:rFonts w:ascii="Arial" w:hAnsi="Arial" w:cs="Arial"/>
          <w:strike/>
          <w:szCs w:val="24"/>
          <w:lang w:eastAsia="lt-LT"/>
        </w:rPr>
        <w:t>būti didesnis kaip</w:t>
      </w:r>
      <w:r>
        <w:rPr>
          <w:rFonts w:ascii="Arial" w:hAnsi="Arial" w:cs="Arial"/>
          <w:b/>
          <w:bCs/>
          <w:szCs w:val="24"/>
          <w:lang w:eastAsia="lt-LT"/>
        </w:rPr>
        <w:t xml:space="preserve"> 1 VRP dydžio vienam asmeniui ir 1 VRP x (1 + 0,2 x n) (kur n – šeimos narių skaičius)dydžio šeimai </w:t>
      </w:r>
      <w:r>
        <w:rPr>
          <w:rFonts w:ascii="Arial" w:hAnsi="Arial" w:cs="Arial"/>
          <w:strike/>
          <w:szCs w:val="24"/>
          <w:lang w:eastAsia="lt-LT"/>
        </w:rPr>
        <w:t>šeimoms</w:t>
      </w:r>
      <w:r>
        <w:rPr>
          <w:rFonts w:ascii="Arial" w:hAnsi="Arial" w:cs="Arial"/>
          <w:b/>
          <w:bCs/>
          <w:szCs w:val="24"/>
          <w:lang w:eastAsia="lt-LT"/>
        </w:rPr>
        <w:t xml:space="preserve">.“ </w:t>
      </w:r>
      <w:r>
        <w:rPr>
          <w:rFonts w:ascii="Arial" w:hAnsi="Arial" w:cs="Arial"/>
          <w:strike/>
          <w:szCs w:val="24"/>
          <w:lang w:eastAsia="lt-LT"/>
        </w:rPr>
        <w:t>Jeigu šioje dalyje apskaičiuota asmens ar šeimos 40 procentų pajamų dalies suma yra didesnė už būsto nuomos ar išperkamosios būsto nuomos sutartyje nurodytą būsto nuomos ar išperkamosios būsto nuomos mokesčio dydį arba jam lygi, būsto nuomos ar išperkamosios būsto nuomos mokesčio dalies kompensacija nemokama.</w:t>
      </w:r>
    </w:p>
    <w:p w14:paraId="4076C3A2" w14:textId="77777777">
      <w:pPr>
        <w:ind w:firstLine="1298"/>
        <w:rPr>
          <w:rFonts w:ascii="Arial" w:hAnsi="Arial" w:cs="Arial"/>
          <w:szCs w:val="24"/>
          <w:lang w:eastAsia="lt-LT"/>
        </w:rPr>
      </w:pPr>
    </w:p>
    <w:p w14:paraId="01455ED5" w14:textId="77777777">
      <w:pPr>
        <w:jc w:val="both"/>
        <w:rPr>
          <w:rFonts w:ascii="Arial" w:hAnsi="Arial" w:cs="Arial"/>
          <w:szCs w:val="24"/>
          <w:lang w:eastAsia="lt-LT"/>
        </w:rPr>
      </w:pPr>
    </w:p>
    <w:p w14:paraId="4076C3A5" w14:textId="259CF4C7">
      <w:pPr>
        <w:ind w:firstLine="1296"/>
        <w:jc w:val="both"/>
        <w:rPr>
          <w:rFonts w:ascii="Arial" w:hAnsi="Arial" w:cs="Arial"/>
          <w:szCs w:val="24"/>
          <w:lang w:eastAsia="lt-LT"/>
        </w:rPr>
      </w:pPr>
    </w:p>
    <w:p w14:paraId="4076C3A6" w14:textId="3196CB24">
      <w:pPr>
        <w:widowControl w:val="0"/>
        <w:tabs>
          <w:tab w:val="left" w:pos="1276"/>
        </w:tabs>
        <w:jc w:val="both"/>
        <w:rPr>
          <w:rFonts w:ascii="Arial" w:hAnsi="Arial" w:cs="Arial"/>
          <w:bCs/>
          <w:szCs w:val="24"/>
          <w:lang w:eastAsia="lt-LT"/>
        </w:rPr>
      </w:pPr>
      <w:r>
        <w:rPr>
          <w:rFonts w:ascii="Arial" w:hAnsi="Arial" w:cs="Arial"/>
          <w:szCs w:val="24"/>
          <w:lang w:eastAsia="lt-LT"/>
        </w:rPr>
        <w:t>Vyresnioji specialistė</w:t>
        <w:tab/>
        <w:tab/>
        <w:tab/>
        <w:tab/>
        <w:t>Danguolė Versockienė</w:t>
      </w:r>
    </w:p>
    <w:p w14:paraId="4076C3BE" w14:textId="77777777">
      <w:pPr>
        <w:jc w:val="both"/>
        <w:rPr>
          <w:rFonts w:ascii="Arial" w:eastAsia="Calibri" w:hAnsi="Arial" w:cs="Arial"/>
          <w:szCs w:val="24"/>
        </w:rPr>
      </w:pPr>
    </w:p>
    <w:p w14:paraId="4076C3BF" w14:textId="0D8940DA">
      <w:pPr>
        <w:rPr>
          <w:rFonts w:ascii="Arial" w:eastAsia="Calibri" w:hAnsi="Arial" w:cs="Arial"/>
          <w:szCs w:val="24"/>
        </w:rPr>
      </w:pPr>
      <w:r>
        <w:rPr>
          <w:rFonts w:ascii="Arial" w:eastAsia="Calibri" w:hAnsi="Arial" w:cs="Arial"/>
          <w:szCs w:val="24"/>
        </w:rPr>
        <w:t>Tel. (0 315) 55 141, +370 620 24311, el. p. danguole.versockiene@alytus.lt</w:t>
      </w:r>
    </w:p>
    <w:sectPr>
      <w:headerReference w:type="even" r:id="rId8"/>
      <w:headerReference w:type="default" r:id="rId9"/>
      <w:footerReference w:type="even" r:id="rId10"/>
      <w:footerReference w:type="default" r:id="rId11"/>
      <w:headerReference w:type="first" r:id="rId12"/>
      <w:footerReference w:type="first" r:id="rId13"/>
      <w:pgSz w:w="11906" w:h="16838" w:code="9"/>
      <w:pgMar w:top="1134" w:right="567" w:bottom="1134" w:left="1701" w:header="567" w:footer="567" w:gutter="0"/>
      <w:cols w:space="1296"/>
      <w:titlePg/>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BCD8D" w14:textId="77777777">
      <w:pPr>
        <w:rPr>
          <w:rFonts w:ascii="Calibri" w:eastAsia="Calibri" w:hAnsi="Calibri"/>
          <w:sz w:val="22"/>
          <w:szCs w:val="22"/>
        </w:rPr>
      </w:pPr>
      <w:r>
        <w:rPr>
          <w:rFonts w:ascii="Calibri" w:eastAsia="Calibri" w:hAnsi="Calibri"/>
          <w:sz w:val="22"/>
          <w:szCs w:val="22"/>
        </w:rPr>
        <w:separator/>
      </w:r>
    </w:p>
  </w:endnote>
  <w:endnote w:type="continuationSeparator" w:id="0">
    <w:p w14:paraId="4441FC13" w14:textId="77777777">
      <w:pPr>
        <w:rPr>
          <w:rFonts w:ascii="Calibri" w:eastAsia="Calibri" w:hAnsi="Calibri"/>
          <w:sz w:val="22"/>
          <w:szCs w:val="22"/>
        </w:rPr>
      </w:pPr>
      <w:r>
        <w:rPr>
          <w:rFonts w:ascii="Calibri" w:eastAsia="Calibri" w:hAnsi="Calibri"/>
          <w:sz w:val="22"/>
          <w:szCs w:val="22"/>
        </w:rPr>
        <w:continuationSeparator/>
      </w:r>
    </w:p>
  </w:endnote>
  <w:endnote w:type="continuationNotice" w:id="1">
    <w:p w14:paraId="77CCA282" w14:textId="77777777">
      <w:pPr>
        <w:rPr>
          <w:rFonts w:ascii="Calibri" w:eastAsia="Calibri" w:hAnsi="Calibri"/>
          <w:sz w:val="22"/>
          <w:szCs w:val="22"/>
        </w:rPr>
      </w:pP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86DCC" w14:textId="77777777">
    <w:pPr>
      <w:tabs>
        <w:tab w:val="center" w:pos="4819"/>
        <w:tab w:val="right" w:pos="9638"/>
      </w:tabs>
      <w:rPr>
        <w:rFonts w:ascii="Calibri" w:eastAsia="Calibri" w:hAnsi="Calibri"/>
        <w:sz w:val="22"/>
        <w:szCs w:val="22"/>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7BFE" w14:textId="77777777">
    <w:pPr>
      <w:tabs>
        <w:tab w:val="center" w:pos="4819"/>
        <w:tab w:val="right" w:pos="9638"/>
      </w:tabs>
      <w:rPr>
        <w:rFonts w:ascii="Calibri" w:eastAsia="Calibri" w:hAnsi="Calibri"/>
        <w:sz w:val="22"/>
        <w:szCs w:val="22"/>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050FC" w14:textId="77777777">
    <w:pPr>
      <w:tabs>
        <w:tab w:val="center" w:pos="4819"/>
        <w:tab w:val="right" w:pos="9638"/>
      </w:tabs>
      <w:rPr>
        <w:rFonts w:ascii="Calibri" w:eastAsia="Calibri" w:hAnsi="Calibri"/>
        <w:sz w:val="22"/>
        <w:szCs w:val="22"/>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DD0F2" w14:textId="77777777">
      <w:pPr>
        <w:rPr>
          <w:rFonts w:ascii="Calibri" w:eastAsia="Calibri" w:hAnsi="Calibri"/>
          <w:sz w:val="22"/>
          <w:szCs w:val="22"/>
        </w:rPr>
      </w:pPr>
      <w:r>
        <w:rPr>
          <w:rFonts w:ascii="Calibri" w:eastAsia="Calibri" w:hAnsi="Calibri"/>
          <w:sz w:val="22"/>
          <w:szCs w:val="22"/>
        </w:rPr>
        <w:separator/>
      </w:r>
    </w:p>
  </w:footnote>
  <w:footnote w:type="continuationSeparator" w:id="0">
    <w:p w14:paraId="0402E683" w14:textId="77777777">
      <w:pPr>
        <w:rPr>
          <w:rFonts w:ascii="Calibri" w:eastAsia="Calibri" w:hAnsi="Calibri"/>
          <w:sz w:val="22"/>
          <w:szCs w:val="22"/>
        </w:rPr>
      </w:pPr>
      <w:r>
        <w:rPr>
          <w:rFonts w:ascii="Calibri" w:eastAsia="Calibri" w:hAnsi="Calibri"/>
          <w:sz w:val="22"/>
          <w:szCs w:val="22"/>
        </w:rPr>
        <w:continuationSeparator/>
      </w:r>
    </w:p>
  </w:footnote>
  <w:footnote w:type="continuationNotice" w:id="1">
    <w:p w14:paraId="10DF207C" w14:textId="77777777">
      <w:pPr>
        <w:rPr>
          <w:rFonts w:ascii="Calibri" w:eastAsia="Calibri" w:hAnsi="Calibri"/>
          <w:sz w:val="22"/>
          <w:szCs w:val="22"/>
        </w:rPr>
      </w:pP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C32EA" w14:textId="77777777">
    <w:pPr>
      <w:tabs>
        <w:tab w:val="center" w:pos="4819"/>
        <w:tab w:val="right" w:pos="9638"/>
      </w:tabs>
      <w:rPr>
        <w:rFonts w:ascii="Calibri" w:eastAsia="Calibri" w:hAnsi="Calibri"/>
        <w:sz w:val="22"/>
        <w:szCs w:val="22"/>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49A8F" w14:textId="77777777">
    <w:pPr>
      <w:tabs>
        <w:tab w:val="center" w:pos="4819"/>
        <w:tab w:val="right" w:pos="9638"/>
      </w:tabs>
      <w:rPr>
        <w:rFonts w:ascii="Calibri" w:eastAsia="Calibri" w:hAnsi="Calibri"/>
        <w:sz w:val="22"/>
        <w:szCs w:val="22"/>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F51E" w14:textId="77777777">
    <w:pPr>
      <w:tabs>
        <w:tab w:val="center" w:pos="4819"/>
        <w:tab w:val="right" w:pos="9638"/>
      </w:tabs>
      <w:rPr>
        <w:rFonts w:ascii="Calibri" w:eastAsia="Calibri" w:hAnsi="Calibri"/>
        <w:sz w:val="22"/>
        <w:szCs w:val="22"/>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5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C363"/>
  <w15:docId w15:val="{7F140D81-E0A2-4323-89C9-819EE33DB31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6368983">
      <w:bodyDiv w:val="1"/>
      <w:marLeft w:val="0"/>
      <w:marRight w:val="0"/>
      <w:marTop w:val="0"/>
      <w:marBottom w:val="0"/>
      <w:divBdr>
        <w:top w:val="none" w:sz="0" w:space="0" w:color="auto"/>
        <w:left w:val="none" w:sz="0" w:space="0" w:color="auto"/>
        <w:bottom w:val="none" w:sz="0" w:space="0" w:color="auto"/>
        <w:right w:val="none" w:sz="0" w:space="0" w:color="auto"/>
      </w:divBdr>
    </w:div>
    <w:div w:id="310259748">
      <w:bodyDiv w:val="1"/>
      <w:marLeft w:val="0"/>
      <w:marRight w:val="0"/>
      <w:marTop w:val="0"/>
      <w:marBottom w:val="0"/>
      <w:divBdr>
        <w:top w:val="none" w:sz="0" w:space="0" w:color="auto"/>
        <w:left w:val="none" w:sz="0" w:space="0" w:color="auto"/>
        <w:bottom w:val="none" w:sz="0" w:space="0" w:color="auto"/>
        <w:right w:val="none" w:sz="0" w:space="0" w:color="auto"/>
      </w:divBdr>
    </w:div>
    <w:div w:id="2145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image" Target="media/image1.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65699-4674-4086-8CE8-34949563A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4614</Characters>
  <Application>Microsoft Office Word</Application>
  <DocSecurity>4</DocSecurity>
  <Lines>121</Lines>
  <Paragraphs>37</Paragraphs>
  <ScaleCrop>false</ScaleCrop>
  <HeadingPairs>
    <vt:vector size="2" baseType="variant">
      <vt:variant>
        <vt:lpstr>Pavadinimas</vt:lpstr>
      </vt:variant>
      <vt:variant>
        <vt:i4>1</vt:i4>
      </vt:variant>
    </vt:vector>
  </HeadingPairs>
  <TitlesOfParts>
    <vt:vector size="1" baseType="lpstr">
      <vt:lpstr/>
    </vt:vector>
  </TitlesOfParts>
  <Company>Hewlett-Packard Company</Company>
  <LinksUpToDate>false</LinksUpToDate>
  <CharactersWithSpaces>5262</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2024-11-27T09:08:00Z</dcterms:created>
  <dc:creator>Rima Kundrotienė</dc:creator>
  <lastModifiedBy>adlibuser</lastModifiedBy>
  <lastPrinted>2013-02-27T06:11:00Z</lastPrinted>
  <dcterms:modified xsi:type="dcterms:W3CDTF">2024-11-27T09:08:00Z</dcterms:modified>
  <revision>2</revision>
</coreProperties>
</file>