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0E2C0D7C" w14:textId="63DE5B67">
      <w:pPr>
        <w:spacing w:line="360" w:lineRule="auto"/>
        <w:ind w:left="6521"/>
        <w:rPr>
          <w:b/>
          <w:szCs w:val="24"/>
        </w:rPr>
      </w:pPr>
      <w:r>
        <w:rPr>
          <w:b/>
          <w:szCs w:val="24"/>
        </w:rPr>
        <w:t xml:space="preserve">Projektas </w:t>
      </w:r>
    </w:p>
    <w:p w14:paraId="4B0E135B" w14:textId="77777777">
      <w:pPr>
        <w:spacing w:line="360" w:lineRule="auto"/>
        <w:jc w:val="center"/>
        <w:rPr>
          <w:b/>
          <w:caps/>
          <w:szCs w:val="24"/>
        </w:rPr>
      </w:pPr>
    </w:p>
    <w:p w14:paraId="5EE60919" w14:textId="77777777">
      <w:pPr>
        <w:spacing w:line="360" w:lineRule="auto"/>
        <w:jc w:val="center"/>
        <w:rPr>
          <w:b/>
          <w:bCs/>
          <w:szCs w:val="24"/>
          <w:lang w:eastAsia="lt-LT"/>
        </w:rPr>
      </w:pPr>
      <w:r>
        <w:rPr>
          <w:b/>
          <w:bCs/>
          <w:szCs w:val="24"/>
          <w:lang w:eastAsia="lt-LT"/>
        </w:rPr>
        <w:t xml:space="preserve">LIETUVOS RESPUBLIKOS </w:t>
      </w:r>
    </w:p>
    <w:p w14:paraId="04348538" w14:textId="639B7BB7">
      <w:pPr>
        <w:spacing w:line="360" w:lineRule="auto"/>
        <w:jc w:val="center"/>
        <w:rPr>
          <w:b/>
          <w:caps/>
          <w:szCs w:val="24"/>
        </w:rPr>
      </w:pPr>
      <w:r>
        <w:rPr>
          <w:b/>
          <w:bCs/>
          <w:szCs w:val="24"/>
          <w:lang w:eastAsia="lt-LT"/>
        </w:rPr>
        <w:t>GYVENTOJŲ PAJAMŲ MOKESČIO ĮSTATYMO NR. IX-1007 2, 8, 16, 17, 21 IR 37 STRAIPSNIŲ PAKEITIMO IR ĮSTATYMO PAPILDYMO 12</w:t>
      </w:r>
      <w:r>
        <w:rPr>
          <w:b/>
          <w:bCs/>
          <w:szCs w:val="24"/>
          <w:vertAlign w:val="superscript"/>
          <w:lang w:eastAsia="lt-LT"/>
        </w:rPr>
        <w:t>1</w:t>
      </w:r>
      <w:r>
        <w:rPr>
          <w:b/>
          <w:bCs/>
          <w:szCs w:val="24"/>
          <w:lang w:eastAsia="lt-LT"/>
        </w:rPr>
        <w:t xml:space="preserve"> STRAIPSNIU ĮSTATYMO NR. XIV-2803 1 IR 8 STRAIPSNIŲ PAKEITIMO </w:t>
      </w:r>
    </w:p>
    <w:p w14:paraId="5908838D" w14:textId="6DE775B4">
      <w:pPr>
        <w:spacing w:line="360" w:lineRule="auto"/>
        <w:jc w:val="center"/>
        <w:rPr>
          <w:b/>
          <w:caps/>
          <w:szCs w:val="24"/>
        </w:rPr>
      </w:pPr>
      <w:r>
        <w:rPr>
          <w:b/>
          <w:caps/>
          <w:szCs w:val="24"/>
        </w:rPr>
        <w:t>įstatymas</w:t>
      </w:r>
    </w:p>
    <w:p w14:paraId="36AB90CA" w14:textId="77777777">
      <w:pPr>
        <w:spacing w:line="360" w:lineRule="auto"/>
        <w:jc w:val="center"/>
        <w:rPr>
          <w:b/>
          <w:caps/>
          <w:szCs w:val="24"/>
        </w:rPr>
      </w:pPr>
    </w:p>
    <w:p w14:paraId="6EDE63AE" w14:textId="77777777">
      <w:pPr>
        <w:spacing w:line="360" w:lineRule="auto"/>
        <w:jc w:val="center"/>
        <w:rPr>
          <w:szCs w:val="24"/>
        </w:rPr>
      </w:pPr>
      <w:r>
        <w:rPr>
          <w:szCs w:val="24"/>
        </w:rPr>
        <w:t>20</w:t>
      </w:r>
      <w:r>
        <w:rPr>
          <w:szCs w:val="24"/>
          <w:lang w:val="en-GB"/>
        </w:rPr>
        <w:t>24</w:t>
      </w:r>
      <w:r>
        <w:rPr>
          <w:szCs w:val="24"/>
        </w:rPr>
        <w:t xml:space="preserve"> m.</w:t>
        <w:tab/>
        <w:tab/>
        <w:t>d. Nr.</w:t>
      </w:r>
    </w:p>
    <w:p w14:paraId="64A3034B" w14:textId="77777777">
      <w:pPr>
        <w:spacing w:line="360" w:lineRule="auto"/>
        <w:jc w:val="center"/>
        <w:rPr>
          <w:szCs w:val="24"/>
        </w:rPr>
      </w:pPr>
      <w:r>
        <w:rPr>
          <w:szCs w:val="24"/>
        </w:rPr>
        <w:t>Vilnius</w:t>
      </w:r>
    </w:p>
    <w:p w14:paraId="5CC24277" w14:textId="77777777">
      <w:pPr>
        <w:spacing w:line="360" w:lineRule="auto"/>
        <w:ind w:firstLine="720"/>
        <w:jc w:val="both"/>
        <w:rPr>
          <w:szCs w:val="24"/>
        </w:rPr>
      </w:pPr>
    </w:p>
    <w:p w14:paraId="237CB07D" w14:textId="77777777">
      <w:pPr>
        <w:spacing w:line="360" w:lineRule="auto"/>
        <w:ind w:firstLine="720"/>
        <w:jc w:val="both"/>
        <w:rPr>
          <w:b/>
          <w:szCs w:val="24"/>
        </w:rPr>
      </w:pPr>
      <w:r>
        <w:rPr>
          <w:b/>
          <w:szCs w:val="24"/>
        </w:rPr>
        <w:t>1</w:t>
      </w:r>
      <w:r>
        <w:rPr>
          <w:b/>
          <w:szCs w:val="24"/>
        </w:rPr>
        <w:t xml:space="preserve"> straipsnis. </w:t>
      </w:r>
      <w:r>
        <w:rPr>
          <w:b/>
          <w:szCs w:val="24"/>
        </w:rPr>
        <w:t xml:space="preserve">1 straipsnio pakeitimas </w:t>
      </w:r>
    </w:p>
    <w:p w14:paraId="018B7C69" w14:textId="3A5B5D6E">
      <w:pPr>
        <w:spacing w:line="360" w:lineRule="auto"/>
        <w:ind w:left="1080" w:hanging="360"/>
        <w:jc w:val="both"/>
        <w:rPr>
          <w:szCs w:val="24"/>
        </w:rPr>
      </w:pPr>
      <w:r>
        <w:rPr>
          <w:szCs w:val="24"/>
          <w:lang w:eastAsia="lt-LT"/>
        </w:rPr>
        <w:t>Pakeisti 1 straipsnį</w:t>
      </w:r>
      <w:r>
        <w:rPr>
          <w:szCs w:val="24"/>
        </w:rPr>
        <w:t xml:space="preserve"> ir jį išdėstyti taip:</w:t>
      </w:r>
    </w:p>
    <w:p w14:paraId="4FD33D4D" w14:textId="1F2F2D26">
      <w:pPr>
        <w:spacing w:line="360" w:lineRule="auto"/>
        <w:ind w:firstLine="720"/>
        <w:jc w:val="both"/>
        <w:rPr>
          <w:color w:val="000000"/>
          <w:szCs w:val="24"/>
          <w:lang w:eastAsia="lt-LT"/>
        </w:rPr>
      </w:pPr>
      <w:r>
        <w:rPr>
          <w:bCs/>
          <w:color w:val="000000"/>
          <w:szCs w:val="24"/>
          <w:lang w:eastAsia="lt-LT"/>
        </w:rPr>
        <w:t>„</w:t>
      </w:r>
      <w:r>
        <w:rPr>
          <w:b/>
          <w:bCs/>
          <w:color w:val="000000"/>
          <w:szCs w:val="24"/>
          <w:lang w:eastAsia="lt-LT"/>
        </w:rPr>
        <w:t>1</w:t>
      </w:r>
      <w:r>
        <w:rPr>
          <w:b/>
          <w:bCs/>
          <w:color w:val="000000"/>
          <w:szCs w:val="24"/>
          <w:lang w:eastAsia="lt-LT"/>
        </w:rPr>
        <w:t> straipsnis. </w:t>
      </w:r>
      <w:r>
        <w:rPr>
          <w:b/>
          <w:bCs/>
          <w:color w:val="000000"/>
          <w:szCs w:val="24"/>
          <w:lang w:eastAsia="lt-LT"/>
        </w:rPr>
        <w:t>2 straipsnio pakeitimas</w:t>
      </w:r>
    </w:p>
    <w:p w14:paraId="75E38BD6" w14:textId="77777777">
      <w:pPr>
        <w:spacing w:line="360" w:lineRule="auto"/>
        <w:ind w:firstLine="720"/>
        <w:jc w:val="both"/>
        <w:rPr>
          <w:color w:val="000000"/>
          <w:szCs w:val="24"/>
          <w:lang w:eastAsia="lt-LT"/>
        </w:rPr>
      </w:pPr>
      <w:r>
        <w:rPr>
          <w:color w:val="000000"/>
          <w:szCs w:val="24"/>
          <w:lang w:eastAsia="lt-LT"/>
        </w:rPr>
        <w:t>1</w:t>
      </w:r>
      <w:r>
        <w:rPr>
          <w:color w:val="000000"/>
          <w:szCs w:val="24"/>
          <w:lang w:eastAsia="lt-LT"/>
        </w:rPr>
        <w:t>. Pakeisti 2 straipsnio 11 dalį ir ją išdėstyti taip:</w:t>
      </w:r>
    </w:p>
    <w:p w14:paraId="35787AEB" w14:textId="77777777">
      <w:pPr>
        <w:spacing w:line="360" w:lineRule="auto"/>
        <w:ind w:firstLine="720"/>
        <w:jc w:val="both"/>
        <w:rPr>
          <w:color w:val="000000"/>
          <w:szCs w:val="24"/>
          <w:lang w:eastAsia="lt-LT"/>
        </w:rPr>
      </w:pPr>
      <w:r>
        <w:rPr>
          <w:color w:val="000000"/>
          <w:szCs w:val="24"/>
          <w:lang w:eastAsia="lt-LT"/>
        </w:rPr>
        <w:t>„11. </w:t>
      </w:r>
      <w:r>
        <w:rPr>
          <w:b/>
          <w:bCs/>
          <w:color w:val="000000"/>
          <w:szCs w:val="24"/>
          <w:lang w:eastAsia="lt-LT"/>
        </w:rPr>
        <w:t>Išvestinės finansinės priemonės</w:t>
      </w:r>
      <w:r>
        <w:rPr>
          <w:color w:val="000000"/>
          <w:szCs w:val="24"/>
          <w:lang w:eastAsia="lt-LT"/>
        </w:rPr>
        <w:t> – Lietuvos Respublikos finansinių priemonių rinkų įstatymo 3 straipsnio 15 dalies 4, 5, 6, 7, 8, 9 ir 10 punktuose nurodytos finansinės priemonės.“</w:t>
      </w:r>
    </w:p>
    <w:p w14:paraId="6A104BAE" w14:textId="64656E82">
      <w:pPr>
        <w:spacing w:line="360" w:lineRule="auto"/>
        <w:ind w:firstLine="720"/>
        <w:jc w:val="both"/>
        <w:rPr>
          <w:color w:val="000000"/>
          <w:szCs w:val="24"/>
          <w:lang w:eastAsia="lt-LT"/>
        </w:rPr>
      </w:pPr>
      <w:r>
        <w:rPr>
          <w:color w:val="000000"/>
          <w:szCs w:val="24"/>
          <w:lang w:eastAsia="lt-LT"/>
        </w:rPr>
        <w:t>2</w:t>
      </w:r>
      <w:r>
        <w:rPr>
          <w:color w:val="000000"/>
          <w:szCs w:val="24"/>
          <w:lang w:eastAsia="lt-LT"/>
        </w:rPr>
        <w:t>. Papildyti 2 straipsnį 38</w:t>
      </w:r>
      <w:r>
        <w:rPr>
          <w:color w:val="000000"/>
          <w:szCs w:val="24"/>
          <w:vertAlign w:val="superscript"/>
          <w:lang w:eastAsia="lt-LT"/>
        </w:rPr>
        <w:t>1</w:t>
      </w:r>
      <w:r>
        <w:rPr>
          <w:color w:val="000000"/>
          <w:szCs w:val="24"/>
          <w:lang w:eastAsia="lt-LT"/>
        </w:rPr>
        <w:t xml:space="preserve"> dalimi:</w:t>
      </w:r>
    </w:p>
    <w:p w14:paraId="0E3448E7" w14:textId="230A911D">
      <w:pPr>
        <w:spacing w:line="360" w:lineRule="auto"/>
        <w:ind w:firstLine="720"/>
        <w:jc w:val="both"/>
        <w:rPr>
          <w:color w:val="000000"/>
          <w:szCs w:val="24"/>
          <w:lang w:eastAsia="lt-LT"/>
        </w:rPr>
      </w:pPr>
      <w:r>
        <w:rPr>
          <w:color w:val="000000"/>
          <w:szCs w:val="24"/>
          <w:lang w:eastAsia="lt-LT"/>
        </w:rPr>
        <w:t>„</w:t>
      </w:r>
      <w:r>
        <w:rPr>
          <w:color w:val="000000"/>
          <w:szCs w:val="24"/>
          <w:lang w:eastAsia="lt-LT"/>
        </w:rPr>
        <w:t>38</w:t>
      </w:r>
      <w:r>
        <w:rPr>
          <w:color w:val="000000"/>
          <w:szCs w:val="24"/>
          <w:vertAlign w:val="superscript"/>
          <w:lang w:eastAsia="lt-LT"/>
        </w:rPr>
        <w:t>1</w:t>
      </w:r>
      <w:r>
        <w:rPr>
          <w:color w:val="000000"/>
          <w:szCs w:val="24"/>
          <w:lang w:eastAsia="lt-LT"/>
        </w:rPr>
        <w:t>. </w:t>
      </w:r>
      <w:r>
        <w:rPr>
          <w:b/>
          <w:bCs/>
          <w:color w:val="000000"/>
          <w:szCs w:val="24"/>
          <w:lang w:eastAsia="lt-LT"/>
        </w:rPr>
        <w:t>Investicinė sąskaita</w:t>
      </w:r>
      <w:r>
        <w:rPr>
          <w:color w:val="000000"/>
          <w:szCs w:val="24"/>
          <w:lang w:eastAsia="lt-LT"/>
        </w:rPr>
        <w:t> – Europos ekonominės erdvės valstybėje, Ekonominio bendradarbiavimo ir plėtros organizacijos valstybėje narėje ar valstybėje, su kuria Lietuva yra sudariusi ir taiko dvigubo apmokestinimo išvengimo sutartį, įsteigtoje finansų įstaigoje, subjekte, kuris laikomas mokėjimo paslaugų teikėju, arba šios įstaigos ar subjekto filiale arba nuolatinėje buveinėje, esančiuose minėtose valstybėse, nuolatinio Lietuvos gyventojo turima sąskaita, deklaruota kaip sąskaita, kurios lėšas nuolatinis Lietuvos gyventojas naudoja tik investicijoms į šio Įstatymo 12</w:t>
      </w:r>
      <w:r>
        <w:rPr>
          <w:color w:val="000000"/>
          <w:szCs w:val="24"/>
          <w:vertAlign w:val="superscript"/>
          <w:lang w:eastAsia="lt-LT"/>
        </w:rPr>
        <w:t>1 </w:t>
      </w:r>
      <w:r>
        <w:rPr>
          <w:color w:val="000000"/>
          <w:szCs w:val="24"/>
          <w:lang w:eastAsia="lt-LT"/>
        </w:rPr>
        <w:t>straipsnyje nurodytus finansinius produktus.“</w:t>
      </w:r>
    </w:p>
    <w:p w14:paraId="77E8FBFC" w14:textId="797EC151">
      <w:pPr>
        <w:spacing w:line="360" w:lineRule="auto"/>
        <w:ind w:firstLine="720"/>
        <w:jc w:val="both"/>
        <w:rPr>
          <w:color w:val="000000"/>
          <w:szCs w:val="24"/>
          <w:lang w:eastAsia="lt-LT"/>
        </w:rPr>
      </w:pPr>
      <w:r>
        <w:rPr>
          <w:color w:val="000000"/>
          <w:szCs w:val="24"/>
          <w:lang w:eastAsia="lt-LT"/>
        </w:rPr>
        <w:t>3</w:t>
      </w:r>
      <w:r>
        <w:rPr>
          <w:color w:val="000000"/>
          <w:szCs w:val="24"/>
          <w:lang w:eastAsia="lt-LT"/>
        </w:rPr>
        <w:t>. Pakeisti 2 straipsnio 39 dalį ir ją išdėstyti taip:</w:t>
      </w:r>
    </w:p>
    <w:p w14:paraId="4017DDEB" w14:textId="24AC6722">
      <w:pPr>
        <w:spacing w:line="360" w:lineRule="auto"/>
        <w:ind w:firstLine="720"/>
        <w:jc w:val="both"/>
        <w:rPr>
          <w:color w:val="000000"/>
          <w:szCs w:val="24"/>
          <w:lang w:eastAsia="lt-LT"/>
        </w:rPr>
      </w:pPr>
      <w:r>
        <w:rPr>
          <w:color w:val="000000"/>
          <w:szCs w:val="24"/>
          <w:lang w:eastAsia="lt-LT"/>
        </w:rPr>
        <w:t>„</w:t>
      </w:r>
      <w:r>
        <w:rPr>
          <w:color w:val="000000"/>
          <w:szCs w:val="24"/>
          <w:lang w:eastAsia="lt-LT"/>
        </w:rPr>
        <w:t>39</w:t>
      </w:r>
      <w:r>
        <w:rPr>
          <w:color w:val="000000"/>
          <w:szCs w:val="24"/>
          <w:lang w:eastAsia="lt-LT"/>
        </w:rPr>
        <w:t xml:space="preserve">. Kitos šiame Įstatyme vartojamos sąvokos suprantamos taip, kaip jos apibrėžtos Lietuvos Respublikos mokesčių administravimo įstatyme, Pelno mokesčio įstatyme, Lietuvos Respublikos civiliniame kodekse, Lietuvos Respublikos baudžiamajame kodekse, finansų rinkas ir finansines paslaugas reglamentuojančiuose Lietuvos Respublikos įstatymuose ir Lietuvos Respublikos valstybinio socialinio draudimo įstatyme </w:t>
      </w:r>
      <w:r>
        <w:rPr>
          <w:szCs w:val="24"/>
        </w:rPr>
        <w:t>ir Lietuvos Respublikos sporto įstatyme</w:t>
      </w:r>
      <w:r>
        <w:rPr>
          <w:color w:val="000000"/>
          <w:szCs w:val="24"/>
          <w:lang w:eastAsia="lt-LT"/>
        </w:rPr>
        <w:t>, kiek tai neprieštarauja šiam Įstatymui (išskyrus Civilinio kodekso įsakmiai nurodytus atvejus).“</w:t>
      </w:r>
    </w:p>
    <w:p w14:paraId="6EA96572" w14:textId="77777777">
      <w:pPr>
        <w:spacing w:line="360" w:lineRule="auto"/>
        <w:ind w:firstLine="782"/>
        <w:jc w:val="both"/>
        <w:rPr>
          <w:color w:val="000000"/>
          <w:szCs w:val="24"/>
          <w:lang w:eastAsia="lt-LT"/>
        </w:rPr>
      </w:pPr>
    </w:p>
    <w:p w14:paraId="1BD3C392" w14:textId="77777777">
      <w:pPr>
        <w:spacing w:line="360" w:lineRule="auto"/>
        <w:ind w:firstLine="720"/>
        <w:jc w:val="both"/>
        <w:rPr>
          <w:b/>
          <w:bCs/>
          <w:color w:val="000000"/>
          <w:szCs w:val="24"/>
          <w:lang w:eastAsia="lt-LT"/>
        </w:rPr>
      </w:pPr>
      <w:r>
        <w:rPr>
          <w:b/>
          <w:bCs/>
          <w:color w:val="000000"/>
          <w:szCs w:val="24"/>
          <w:lang w:eastAsia="lt-LT"/>
        </w:rPr>
        <w:t>2</w:t>
      </w:r>
      <w:r>
        <w:rPr>
          <w:b/>
          <w:bCs/>
          <w:color w:val="000000"/>
          <w:szCs w:val="24"/>
          <w:lang w:eastAsia="lt-LT"/>
        </w:rPr>
        <w:t xml:space="preserve"> straipsnis. </w:t>
      </w:r>
      <w:r>
        <w:rPr>
          <w:b/>
          <w:bCs/>
          <w:color w:val="000000"/>
          <w:szCs w:val="24"/>
          <w:lang w:eastAsia="lt-LT"/>
        </w:rPr>
        <w:t>8 straipsnio pakeitimas</w:t>
      </w:r>
    </w:p>
    <w:p w14:paraId="2602684B" w14:textId="77777777">
      <w:pPr>
        <w:spacing w:line="360" w:lineRule="auto"/>
        <w:ind w:firstLine="720"/>
        <w:jc w:val="both"/>
        <w:rPr>
          <w:color w:val="000000"/>
          <w:szCs w:val="24"/>
          <w:lang w:eastAsia="lt-LT"/>
        </w:rPr>
      </w:pPr>
      <w:r>
        <w:rPr>
          <w:bCs/>
          <w:color w:val="000000"/>
          <w:szCs w:val="24"/>
          <w:lang w:eastAsia="lt-LT"/>
        </w:rPr>
        <w:t>Pakeisti 8 straipsnį ir jį išdėstyti taip:</w:t>
      </w:r>
    </w:p>
    <w:p w14:paraId="4567DE30" w14:textId="77777777">
      <w:pPr>
        <w:spacing w:line="360" w:lineRule="auto"/>
        <w:ind w:firstLine="720"/>
        <w:jc w:val="both"/>
        <w:rPr>
          <w:color w:val="000000"/>
          <w:szCs w:val="24"/>
          <w:lang w:eastAsia="lt-LT"/>
        </w:rPr>
      </w:pPr>
      <w:r>
        <w:rPr>
          <w:b/>
          <w:bCs/>
          <w:color w:val="000000"/>
          <w:szCs w:val="24"/>
          <w:lang w:eastAsia="lt-LT"/>
        </w:rPr>
        <w:t>„</w:t>
      </w:r>
      <w:r>
        <w:rPr>
          <w:b/>
          <w:bCs/>
          <w:color w:val="000000"/>
          <w:szCs w:val="24"/>
          <w:lang w:eastAsia="lt-LT"/>
        </w:rPr>
        <w:t>8</w:t>
      </w:r>
      <w:r>
        <w:rPr>
          <w:b/>
          <w:bCs/>
          <w:color w:val="000000"/>
          <w:szCs w:val="24"/>
          <w:lang w:eastAsia="lt-LT"/>
        </w:rPr>
        <w:t xml:space="preserve"> straipsnis. </w:t>
      </w:r>
      <w:r>
        <w:rPr>
          <w:b/>
          <w:bCs/>
          <w:color w:val="000000"/>
          <w:szCs w:val="24"/>
          <w:lang w:eastAsia="lt-LT"/>
        </w:rPr>
        <w:t>Įstatymo įsigaliojimas įgyvendinimas ir taikymas</w:t>
      </w:r>
    </w:p>
    <w:p w14:paraId="3CC3A237" w14:textId="5095F917">
      <w:pPr>
        <w:spacing w:line="360" w:lineRule="auto"/>
        <w:ind w:firstLine="709"/>
        <w:jc w:val="both"/>
        <w:rPr>
          <w:color w:val="000000"/>
          <w:szCs w:val="24"/>
          <w:lang w:eastAsia="lt-LT"/>
        </w:rPr>
      </w:pPr>
      <w:r>
        <w:rPr>
          <w:color w:val="000000"/>
          <w:szCs w:val="24"/>
          <w:lang w:eastAsia="lt-LT"/>
        </w:rPr>
        <w:t>1</w:t>
      </w:r>
      <w:r>
        <w:rPr>
          <w:color w:val="000000"/>
          <w:szCs w:val="24"/>
          <w:lang w:eastAsia="lt-LT"/>
        </w:rPr>
        <w:t>. Šis įstatymas, išskyrus šio straipsnio 2 dalį ir šio įstatymo 1 straipsnio 3 dalį, įsigalioja 2025 m. sausio 1 d.</w:t>
      </w:r>
    </w:p>
    <w:p w14:paraId="0B360437" w14:textId="3A63CE14">
      <w:pPr>
        <w:spacing w:line="360" w:lineRule="auto"/>
        <w:ind w:firstLine="720"/>
        <w:jc w:val="both"/>
        <w:rPr>
          <w:color w:val="000000"/>
          <w:szCs w:val="24"/>
          <w:lang w:eastAsia="lt-LT"/>
        </w:rPr>
      </w:pPr>
      <w:r>
        <w:rPr>
          <w:color w:val="000000"/>
          <w:szCs w:val="24"/>
          <w:lang w:eastAsia="lt-LT"/>
        </w:rPr>
        <w:t>2</w:t>
      </w:r>
      <w:r>
        <w:rPr>
          <w:color w:val="000000"/>
          <w:szCs w:val="24"/>
          <w:lang w:eastAsia="lt-LT"/>
        </w:rPr>
        <w:t>. Šio įstatymo 1 straipsnio 3 dalis įsigalioja 2025 m. sausio 2 d.</w:t>
      </w:r>
    </w:p>
    <w:p w14:paraId="3832FC76" w14:textId="04FD4FA2">
      <w:pPr>
        <w:spacing w:line="360" w:lineRule="auto"/>
        <w:ind w:firstLine="720"/>
        <w:jc w:val="both"/>
        <w:rPr>
          <w:color w:val="000000"/>
          <w:szCs w:val="24"/>
          <w:lang w:eastAsia="lt-LT"/>
        </w:rPr>
      </w:pPr>
      <w:r>
        <w:rPr>
          <w:color w:val="000000"/>
          <w:szCs w:val="24"/>
          <w:lang w:eastAsia="lt-LT"/>
        </w:rPr>
        <w:t>3</w:t>
      </w:r>
      <w:r>
        <w:rPr>
          <w:color w:val="000000"/>
          <w:szCs w:val="24"/>
          <w:lang w:eastAsia="lt-LT"/>
        </w:rPr>
        <w:t>. Centrinis mokesčių administratorius iki 2024 m. gruodžio 31 d. priima šio įstatymo įgyvendinamuosius teisės aktus.</w:t>
      </w:r>
    </w:p>
    <w:p w14:paraId="4319313B" w14:textId="265CA0DC">
      <w:pPr>
        <w:spacing w:line="360" w:lineRule="auto"/>
        <w:ind w:firstLine="720"/>
        <w:jc w:val="both"/>
        <w:rPr>
          <w:color w:val="000000"/>
          <w:szCs w:val="24"/>
          <w:lang w:eastAsia="lt-LT"/>
        </w:rPr>
      </w:pPr>
      <w:r>
        <w:rPr>
          <w:color w:val="000000"/>
          <w:szCs w:val="24"/>
          <w:lang w:eastAsia="lt-LT"/>
        </w:rPr>
        <w:t>4</w:t>
      </w:r>
      <w:r>
        <w:rPr>
          <w:color w:val="000000"/>
          <w:szCs w:val="24"/>
          <w:lang w:eastAsia="lt-LT"/>
        </w:rPr>
        <w:t>. Šio įstatymo nuostatos taikomos apskaičiuojant ir deklaruojant 2025 metų ir vėlesnių mokestinių laikotarpių pajamas.</w:t>
      </w:r>
    </w:p>
    <w:p w14:paraId="3882817F" w14:textId="245BE94E">
      <w:pPr>
        <w:spacing w:line="360" w:lineRule="auto"/>
        <w:ind w:firstLine="720"/>
        <w:jc w:val="both"/>
        <w:rPr>
          <w:color w:val="000000"/>
          <w:szCs w:val="24"/>
          <w:lang w:eastAsia="lt-LT"/>
        </w:rPr>
      </w:pPr>
      <w:r>
        <w:rPr>
          <w:color w:val="000000"/>
          <w:szCs w:val="24"/>
          <w:lang w:eastAsia="lt-LT"/>
        </w:rPr>
        <w:t>5</w:t>
      </w:r>
      <w:r>
        <w:rPr>
          <w:color w:val="000000"/>
          <w:szCs w:val="24"/>
          <w:lang w:eastAsia="lt-LT"/>
        </w:rPr>
        <w:t>. Iki 2024 m. gruodžio 31 d. įsigyti šio įstatymo 3 straipsnyje išdėstytoje Lietuvos Respublikos gyventojų pajamų mokesčio įstatymo 12</w:t>
      </w:r>
      <w:r>
        <w:rPr>
          <w:color w:val="000000"/>
          <w:szCs w:val="24"/>
          <w:vertAlign w:val="superscript"/>
          <w:lang w:eastAsia="lt-LT"/>
        </w:rPr>
        <w:t>1</w:t>
      </w:r>
      <w:r>
        <w:rPr>
          <w:color w:val="000000"/>
          <w:szCs w:val="24"/>
          <w:lang w:eastAsia="lt-LT"/>
        </w:rPr>
        <w:t> straipsnio 1 dalyje nurodyti finansiniai produktai gali būti laikomi įsigytais per investicinę sąskaitą, jeigu gyventojas tokių produktų įsigijimo kainą priskiria investicinei sąskaitai iki 2025 m. gruodžio 31 d. centrinio mokesčių administratoriaus nustatyta tvarka. </w:t>
      </w:r>
    </w:p>
    <w:p w14:paraId="01AEAF8B" w14:textId="77777777">
      <w:pPr>
        <w:spacing w:line="360" w:lineRule="auto"/>
        <w:ind w:firstLine="782"/>
        <w:jc w:val="both"/>
        <w:rPr>
          <w:color w:val="000000"/>
          <w:szCs w:val="24"/>
          <w:lang w:eastAsia="lt-LT"/>
        </w:rPr>
      </w:pPr>
    </w:p>
    <w:p w14:paraId="25912923" w14:textId="77777777">
      <w:pPr>
        <w:spacing w:line="360" w:lineRule="auto"/>
        <w:rPr>
          <w:szCs w:val="24"/>
        </w:rPr>
      </w:pPr>
    </w:p>
    <w:p w14:paraId="4CE3DBB0" w14:textId="77777777">
      <w:pPr>
        <w:spacing w:line="360" w:lineRule="auto"/>
        <w:rPr>
          <w:szCs w:val="24"/>
        </w:rPr>
      </w:pPr>
      <w:r>
        <w:rPr>
          <w:szCs w:val="24"/>
        </w:rPr>
        <w:t>Teikia</w:t>
      </w:r>
    </w:p>
    <w:p w14:paraId="5C6FD3B7" w14:textId="77777777">
      <w:pPr>
        <w:spacing w:line="360" w:lineRule="auto"/>
        <w:rPr>
          <w:szCs w:val="24"/>
        </w:rPr>
      </w:pPr>
    </w:p>
    <w:p w14:paraId="4919F915" w14:textId="77777777">
      <w:pPr>
        <w:spacing w:line="360" w:lineRule="auto"/>
        <w:rPr>
          <w:szCs w:val="24"/>
        </w:rPr>
      </w:pPr>
      <w:r>
        <w:rPr>
          <w:szCs w:val="24"/>
        </w:rPr>
        <w:t>Seimo narys</w:t>
        <w:tab/>
        <w:tab/>
        <w:tab/>
        <w:tab/>
        <w:tab/>
        <w:t xml:space="preserve">                       Mindaugas Lingė</w:t>
      </w:r>
    </w:p>
    <w:p w14:paraId="04758029" w14:textId="77777777">
      <w:pPr>
        <w:spacing w:line="360" w:lineRule="auto"/>
        <w:rPr>
          <w:szCs w:val="24"/>
        </w:rPr>
      </w:pPr>
    </w:p>
    <w:sectPr>
      <w:pgSz w:w="11906" w:h="16838"/>
      <w:pgMar w:top="1701" w:right="567" w:bottom="1134" w:left="1701" w:header="567" w:footer="567" w:gutter="0"/>
      <w:cols w:space="1296"/>
      <w:docGrid w:linePitch="360"/>
    </w:sectPr>
  </w:body>
</w:document>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00002FF" w:usb1="4000ACFF" w:usb2="00000001" w:usb3="00000000" w:csb0="0000019F" w:csb1="00000000"/>
  </w:font>
</w:fonts>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9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1E08"/>
  <w15:chartTrackingRefBased/>
  <w15:docId w15:val="{3500F388-E994-4C2F-83FB-719242C4DF5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1234125053">
      <w:bodyDiv w:val="1"/>
      <w:marLeft w:val="0"/>
      <w:marRight w:val="0"/>
      <w:marTop w:val="0"/>
      <w:marBottom w:val="0"/>
      <w:divBdr>
        <w:top w:val="none" w:sz="0" w:space="0" w:color="auto"/>
        <w:left w:val="none" w:sz="0" w:space="0" w:color="auto"/>
        <w:bottom w:val="none" w:sz="0" w:space="0" w:color="auto"/>
        <w:right w:val="none" w:sz="0" w:space="0" w:color="auto"/>
      </w:divBdr>
      <w:divsChild>
        <w:div w:id="2125222181">
          <w:marLeft w:val="0"/>
          <w:marRight w:val="0"/>
          <w:marTop w:val="0"/>
          <w:marBottom w:val="0"/>
          <w:divBdr>
            <w:top w:val="none" w:sz="0" w:space="0" w:color="auto"/>
            <w:left w:val="none" w:sz="0" w:space="0" w:color="auto"/>
            <w:bottom w:val="none" w:sz="0" w:space="0" w:color="auto"/>
            <w:right w:val="none" w:sz="0" w:space="0" w:color="auto"/>
          </w:divBdr>
          <w:divsChild>
            <w:div w:id="2067558571">
              <w:marLeft w:val="0"/>
              <w:marRight w:val="0"/>
              <w:marTop w:val="0"/>
              <w:marBottom w:val="0"/>
              <w:divBdr>
                <w:top w:val="none" w:sz="0" w:space="0" w:color="auto"/>
                <w:left w:val="none" w:sz="0" w:space="0" w:color="auto"/>
                <w:bottom w:val="none" w:sz="0" w:space="0" w:color="auto"/>
                <w:right w:val="none" w:sz="0" w:space="0" w:color="auto"/>
              </w:divBdr>
              <w:divsChild>
                <w:div w:id="16219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6731">
          <w:marLeft w:val="0"/>
          <w:marRight w:val="0"/>
          <w:marTop w:val="0"/>
          <w:marBottom w:val="0"/>
          <w:divBdr>
            <w:top w:val="none" w:sz="0" w:space="0" w:color="auto"/>
            <w:left w:val="none" w:sz="0" w:space="0" w:color="auto"/>
            <w:bottom w:val="none" w:sz="0" w:space="0" w:color="auto"/>
            <w:right w:val="none" w:sz="0" w:space="0" w:color="auto"/>
          </w:divBdr>
          <w:divsChild>
            <w:div w:id="647713830">
              <w:marLeft w:val="0"/>
              <w:marRight w:val="0"/>
              <w:marTop w:val="0"/>
              <w:marBottom w:val="0"/>
              <w:divBdr>
                <w:top w:val="none" w:sz="0" w:space="0" w:color="auto"/>
                <w:left w:val="none" w:sz="0" w:space="0" w:color="auto"/>
                <w:bottom w:val="none" w:sz="0" w:space="0" w:color="auto"/>
                <w:right w:val="none" w:sz="0" w:space="0" w:color="auto"/>
              </w:divBdr>
              <w:divsChild>
                <w:div w:id="3736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1010">
          <w:marLeft w:val="0"/>
          <w:marRight w:val="0"/>
          <w:marTop w:val="0"/>
          <w:marBottom w:val="0"/>
          <w:divBdr>
            <w:top w:val="none" w:sz="0" w:space="0" w:color="auto"/>
            <w:left w:val="none" w:sz="0" w:space="0" w:color="auto"/>
            <w:bottom w:val="none" w:sz="0" w:space="0" w:color="auto"/>
            <w:right w:val="none" w:sz="0" w:space="0" w:color="auto"/>
          </w:divBdr>
        </w:div>
        <w:div w:id="1643267896">
          <w:marLeft w:val="0"/>
          <w:marRight w:val="0"/>
          <w:marTop w:val="0"/>
          <w:marBottom w:val="0"/>
          <w:divBdr>
            <w:top w:val="none" w:sz="0" w:space="0" w:color="auto"/>
            <w:left w:val="none" w:sz="0" w:space="0" w:color="auto"/>
            <w:bottom w:val="none" w:sz="0" w:space="0" w:color="auto"/>
            <w:right w:val="none" w:sz="0" w:space="0" w:color="auto"/>
          </w:divBdr>
          <w:divsChild>
            <w:div w:id="1920405271">
              <w:marLeft w:val="0"/>
              <w:marRight w:val="0"/>
              <w:marTop w:val="0"/>
              <w:marBottom w:val="0"/>
              <w:divBdr>
                <w:top w:val="none" w:sz="0" w:space="0" w:color="auto"/>
                <w:left w:val="none" w:sz="0" w:space="0" w:color="auto"/>
                <w:bottom w:val="none" w:sz="0" w:space="0" w:color="auto"/>
                <w:right w:val="none" w:sz="0" w:space="0" w:color="auto"/>
              </w:divBdr>
              <w:divsChild>
                <w:div w:id="16863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Words>
  <Characters>2526</Characters>
  <Application>Microsoft Office Word</Application>
  <DocSecurity>4</DocSecurity>
  <Lines>54</Lines>
  <Paragraphs>29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2882</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2024-11-13T06:51:00Z</dcterms:created>
  <dc:creator>MUDĖNIENĖ Dalia</dc:creator>
  <lastModifiedBy>adlibuser</lastModifiedBy>
  <lastPrinted>2024-11-12T12:01:00Z</lastPrinted>
  <dcterms:modified xsi:type="dcterms:W3CDTF">2024-11-13T06:51:00Z</dcterms:modified>
  <revision>2</revision>
</coreProperties>
</file>