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jc w:val="center"/>
        <w:rPr>
          <w:lang w:eastAsia="lt-LT"/>
        </w:rPr>
      </w:pPr>
    </w:p>
    <w:p>
      <w:pPr>
        <w:jc w:val="center"/>
        <w:rPr>
          <w:lang w:eastAsia="lt-LT"/>
        </w:rPr>
      </w:pPr>
    </w:p>
    <w:p>
      <w:pPr>
        <w:ind w:left="6480" w:firstLine="1635"/>
        <w:rPr>
          <w:b/>
          <w:szCs w:val="24"/>
          <w:lang w:eastAsia="lt-LT"/>
        </w:rPr>
      </w:pPr>
      <w:r>
        <w:rPr>
          <w:b/>
          <w:szCs w:val="24"/>
          <w:lang w:eastAsia="lt-LT"/>
        </w:rPr>
        <w:t>Projektas</w:t>
      </w:r>
    </w:p>
    <w:p>
      <w:pPr>
        <w:jc w:val="center"/>
        <w:rPr>
          <w:lang w:eastAsia="lt-LT"/>
        </w:rPr>
      </w:pPr>
    </w:p>
    <w:p>
      <w:pPr>
        <w:rPr>
          <w:sz w:val="10"/>
          <w:szCs w:val="10"/>
        </w:rPr>
      </w:pPr>
    </w:p>
    <w:p>
      <w:pPr>
        <w:keepNext/>
        <w:jc w:val="center"/>
        <w:rPr>
          <w:rFonts w:ascii="Arial" w:hAnsi="Arial" w:cs="Arial"/>
          <w:caps/>
          <w:sz w:val="36"/>
          <w:lang w:eastAsia="lt-LT"/>
        </w:rPr>
      </w:pPr>
      <w:r>
        <w:rPr>
          <w:rFonts w:ascii="Arial" w:hAnsi="Arial" w:cs="Arial"/>
          <w:caps/>
          <w:sz w:val="36"/>
          <w:lang w:eastAsia="lt-LT"/>
        </w:rPr>
        <w:t>Lietuvos Respublikos Vyriausybė</w:t>
      </w:r>
    </w:p>
    <w:p>
      <w:pPr>
        <w:jc w:val="center"/>
        <w:rPr>
          <w:caps/>
          <w:lang w:eastAsia="lt-LT"/>
        </w:rPr>
      </w:pPr>
    </w:p>
    <w:p>
      <w:pPr>
        <w:jc w:val="center"/>
        <w:rPr>
          <w:lang w:eastAsia="lt-LT"/>
        </w:rPr>
      </w:pPr>
      <w:r>
        <w:rPr>
          <w:b/>
          <w:caps/>
          <w:lang w:eastAsia="lt-LT"/>
        </w:rPr>
        <w:t>nutarimas</w:t>
      </w:r>
    </w:p>
    <w:p>
      <w:pPr>
        <w:suppressAutoHyphens/>
        <w:jc w:val="center"/>
        <w:textAlignment w:val="baseline"/>
        <w:rPr>
          <w:b/>
          <w:caps/>
          <w:lang w:val="en-US" w:eastAsia="lt-LT"/>
        </w:rPr>
      </w:pPr>
      <w:r>
        <w:rPr>
          <w:b/>
          <w:caps/>
          <w:lang w:eastAsia="lt-LT"/>
        </w:rPr>
        <w:t xml:space="preserve">DĖL LIETUVOS RESPUBLIKOS VYRIAUSYBĖS 2023 m. kovo 22 d. nutarimo Nr. 181 „Dėl lietuvos respublikos lietuvos šaulių sąjungos įstatymo įgyvendinimo“ pakeitimo </w:t>
      </w:r>
    </w:p>
    <w:p>
      <w:pPr>
        <w:widowControl w:val="0"/>
        <w:jc w:val="center"/>
        <w:rPr>
          <w:b/>
          <w:caps/>
          <w:lang w:eastAsia="lt-LT"/>
        </w:rPr>
      </w:pPr>
    </w:p>
    <w:p>
      <w:pPr>
        <w:ind w:firstLine="62"/>
        <w:jc w:val="center"/>
      </w:pPr>
      <w:r>
        <w:t xml:space="preserve">Nr. </w:t>
      </w:r>
    </w:p>
    <w:p>
      <w:pPr>
        <w:jc w:val="center"/>
      </w:pPr>
      <w:r>
        <w:t>Vilnius</w:t>
      </w:r>
    </w:p>
    <w:p>
      <w:pPr>
        <w:jc w:val="center"/>
        <w:rPr>
          <w:lang w:eastAsia="lt-LT"/>
        </w:rPr>
      </w:pPr>
    </w:p>
    <w:p>
      <w:pPr>
        <w:jc w:val="center"/>
        <w:rPr>
          <w:lang w:eastAsia="lt-LT"/>
        </w:rPr>
      </w:pPr>
    </w:p>
    <w:p>
      <w:pPr>
        <w:spacing w:line="360" w:lineRule="atLeast"/>
        <w:ind w:firstLine="720"/>
        <w:jc w:val="both"/>
        <w:rPr>
          <w:szCs w:val="24"/>
          <w:lang w:eastAsia="lt-LT"/>
        </w:rPr>
      </w:pPr>
      <w:r>
        <w:rPr>
          <w:szCs w:val="24"/>
          <w:lang w:eastAsia="lt-LT"/>
        </w:rPr>
        <w:t>Lietuvos Respublikos Vyriausybė</w:t>
      </w:r>
      <w:r>
        <w:rPr>
          <w:spacing w:val="100"/>
          <w:szCs w:val="24"/>
          <w:lang w:eastAsia="lt-LT"/>
        </w:rPr>
        <w:t xml:space="preserve"> nutari</w:t>
      </w:r>
      <w:r>
        <w:rPr>
          <w:szCs w:val="24"/>
          <w:lang w:eastAsia="lt-LT"/>
        </w:rPr>
        <w:t>a:</w:t>
      </w:r>
    </w:p>
    <w:p>
      <w:pPr>
        <w:spacing w:line="360" w:lineRule="atLeast"/>
        <w:ind w:firstLine="720"/>
        <w:jc w:val="both"/>
        <w:rPr>
          <w:szCs w:val="24"/>
          <w:lang w:eastAsia="lt-LT"/>
        </w:rPr>
      </w:pPr>
      <w:r>
        <w:rPr>
          <w:szCs w:val="24"/>
          <w:lang w:eastAsia="lt-LT"/>
        </w:rPr>
        <w:t xml:space="preserve">Pakeisti Lietuvos šaulių sąjungos nuolatinės šaulio tarnybos pareigų, kurias einantiems </w:t>
      </w:r>
      <w:r>
        <w:rPr>
          <w:bCs/>
          <w:szCs w:val="24"/>
          <w:lang w:eastAsia="lt-LT"/>
        </w:rPr>
        <w:t>šauliams</w:t>
      </w:r>
      <w:r>
        <w:rPr>
          <w:szCs w:val="24"/>
          <w:lang w:eastAsia="lt-LT"/>
        </w:rPr>
        <w:t xml:space="preserve"> darbo užmokestis mokamas iš Lietuvos Respublikos krašto apsaugos ministerijai skiriamų valstybės biudžeto asignavimų, sąrašą, patvirtintą Lietuvos Respublikos Vyriausybės 2023 m. kovo 22 d. nutarimu Nr. 181 „Dėl Lietuvos Respublikos Lietuvos šaulių sąjungos įstatymo įgyvendinimo“:</w:t>
      </w:r>
    </w:p>
    <w:p>
      <w:pPr>
        <w:spacing w:line="360" w:lineRule="atLeast"/>
        <w:ind w:left="720" w:hanging="360"/>
        <w:jc w:val="both"/>
        <w:rPr>
          <w:szCs w:val="24"/>
          <w:lang w:eastAsia="lt-LT"/>
        </w:rPr>
      </w:pPr>
      <w:r>
        <w:rPr>
          <w:szCs w:val="24"/>
          <w:lang w:eastAsia="lt-LT"/>
        </w:rPr>
        <w:t>1</w:t>
      </w:r>
      <w:r>
        <w:rPr>
          <w:szCs w:val="24"/>
          <w:lang w:eastAsia="lt-LT"/>
        </w:rPr>
        <w:t>.</w:t>
        <w:tab/>
        <w:t xml:space="preserve">Papildyti </w:t>
      </w:r>
      <w:r>
        <w:rPr>
          <w:color w:val="000000"/>
          <w:szCs w:val="24"/>
          <w:lang w:eastAsia="lt-LT"/>
        </w:rPr>
        <w:t>1.4</w:t>
      </w:r>
      <w:r>
        <w:rPr>
          <w:color w:val="000000"/>
          <w:szCs w:val="24"/>
          <w:vertAlign w:val="superscript"/>
          <w:lang w:eastAsia="lt-LT"/>
        </w:rPr>
        <w:t>1</w:t>
      </w:r>
      <w:r>
        <w:rPr>
          <w:color w:val="000000"/>
          <w:szCs w:val="24"/>
          <w:lang w:eastAsia="lt-LT"/>
        </w:rPr>
        <w:t>–1.4</w:t>
      </w:r>
      <w:r>
        <w:rPr>
          <w:color w:val="000000"/>
          <w:szCs w:val="24"/>
          <w:vertAlign w:val="superscript"/>
          <w:lang w:eastAsia="lt-LT"/>
        </w:rPr>
        <w:t>3</w:t>
      </w:r>
      <w:r>
        <w:rPr>
          <w:color w:val="000000"/>
          <w:szCs w:val="24"/>
          <w:lang w:eastAsia="lt-LT"/>
        </w:rPr>
        <w:t xml:space="preserve"> papunkčiais:</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„1.4</w:t>
            </w:r>
            <w:r>
              <w:rPr>
                <w:color w:val="000000"/>
                <w:szCs w:val="24"/>
                <w:vertAlign w:val="superscript"/>
                <w:lang w:eastAsia="lt-LT"/>
              </w:rPr>
              <w:t>1</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Teisininkas</w:t>
            </w:r>
          </w:p>
        </w:tc>
      </w:tr>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1.4</w:t>
            </w:r>
            <w:r>
              <w:rPr>
                <w:color w:val="000000"/>
                <w:szCs w:val="24"/>
                <w:vertAlign w:val="superscript"/>
                <w:lang w:eastAsia="lt-LT"/>
              </w:rPr>
              <w:t>2</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Patarėjas</w:t>
            </w:r>
          </w:p>
        </w:tc>
      </w:tr>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1.4</w:t>
            </w:r>
            <w:r>
              <w:rPr>
                <w:color w:val="000000"/>
                <w:szCs w:val="24"/>
                <w:vertAlign w:val="superscript"/>
                <w:lang w:eastAsia="lt-LT"/>
              </w:rPr>
              <w:t>3</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Asmeninis sekretorius (padėjėjas)“</w:t>
            </w:r>
          </w:p>
        </w:tc>
      </w:tr>
    </w:tbl>
    <w:p/>
    <w:p>
      <w:pPr>
        <w:spacing w:line="360" w:lineRule="atLeast"/>
        <w:ind w:left="720" w:hanging="360"/>
        <w:jc w:val="both"/>
        <w:rPr>
          <w:szCs w:val="24"/>
          <w:lang w:eastAsia="lt-LT"/>
        </w:rPr>
      </w:pPr>
      <w:r>
        <w:rPr>
          <w:szCs w:val="24"/>
          <w:lang w:eastAsia="lt-LT"/>
        </w:rPr>
        <w:t>2</w:t>
      </w:r>
      <w:r>
        <w:rPr>
          <w:szCs w:val="24"/>
          <w:lang w:eastAsia="lt-LT"/>
        </w:rPr>
        <w:t>.</w:t>
        <w:tab/>
        <w:t>Pakeisti 3.5 papunktį ir jį išdėstyti taip:</w:t>
      </w: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„3.5.</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 xml:space="preserve">Informacinių ir ryšių technologijų sistemų administratorius“ </w:t>
            </w:r>
          </w:p>
        </w:tc>
      </w:tr>
    </w:tbl>
    <w:p/>
    <w:p>
      <w:pPr>
        <w:spacing w:line="360" w:lineRule="atLeast"/>
        <w:ind w:left="720" w:hanging="360"/>
        <w:jc w:val="both"/>
        <w:rPr>
          <w:szCs w:val="24"/>
          <w:lang w:eastAsia="lt-LT"/>
        </w:rPr>
      </w:pPr>
      <w:r>
        <w:rPr>
          <w:szCs w:val="24"/>
          <w:lang w:eastAsia="lt-LT"/>
        </w:rPr>
        <w:t>3</w:t>
      </w:r>
      <w:r>
        <w:rPr>
          <w:szCs w:val="24"/>
          <w:lang w:eastAsia="lt-LT"/>
        </w:rPr>
        <w:t>.</w:t>
        <w:tab/>
        <w:t xml:space="preserve">Papildyti </w:t>
      </w:r>
      <w:r>
        <w:rPr>
          <w:color w:val="000000"/>
          <w:szCs w:val="24"/>
          <w:lang w:eastAsia="lt-LT"/>
        </w:rPr>
        <w:t>3.5</w:t>
      </w:r>
      <w:r>
        <w:rPr>
          <w:color w:val="000000"/>
          <w:szCs w:val="24"/>
          <w:vertAlign w:val="superscript"/>
          <w:lang w:eastAsia="lt-LT"/>
        </w:rPr>
        <w:t>1</w:t>
      </w:r>
      <w:r>
        <w:rPr>
          <w:color w:val="000000"/>
          <w:szCs w:val="24"/>
          <w:lang w:eastAsia="lt-LT"/>
        </w:rPr>
        <w:t xml:space="preserve"> 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„3.5</w:t>
            </w:r>
            <w:r>
              <w:rPr>
                <w:color w:val="000000"/>
                <w:szCs w:val="24"/>
                <w:vertAlign w:val="superscript"/>
                <w:lang w:eastAsia="lt-LT"/>
              </w:rPr>
              <w:t>1</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Informacinių ir ryšių technologijų saugumo administratorius“</w:t>
            </w:r>
          </w:p>
        </w:tc>
      </w:tr>
    </w:tbl>
    <w:p/>
    <w:p>
      <w:pPr>
        <w:spacing w:line="360" w:lineRule="atLeast"/>
        <w:ind w:left="720" w:hanging="360"/>
        <w:jc w:val="both"/>
        <w:rPr>
          <w:szCs w:val="24"/>
          <w:lang w:eastAsia="lt-LT"/>
        </w:rPr>
      </w:pPr>
      <w:r>
        <w:rPr>
          <w:szCs w:val="24"/>
          <w:lang w:eastAsia="lt-LT"/>
        </w:rPr>
        <w:t>4</w:t>
      </w:r>
      <w:r>
        <w:rPr>
          <w:szCs w:val="24"/>
          <w:lang w:eastAsia="lt-LT"/>
        </w:rPr>
        <w:t>.</w:t>
        <w:tab/>
        <w:t xml:space="preserve">Papildyti </w:t>
      </w:r>
      <w:r>
        <w:rPr>
          <w:color w:val="000000"/>
          <w:szCs w:val="24"/>
          <w:lang w:eastAsia="lt-LT"/>
        </w:rPr>
        <w:t>3</w:t>
      </w:r>
      <w:r>
        <w:rPr>
          <w:color w:val="000000"/>
          <w:szCs w:val="24"/>
          <w:vertAlign w:val="superscript"/>
          <w:lang w:eastAsia="lt-LT"/>
        </w:rPr>
        <w:t>1</w:t>
      </w:r>
      <w:r>
        <w:rPr>
          <w:color w:val="000000"/>
          <w:szCs w:val="24"/>
          <w:lang w:eastAsia="lt-LT"/>
        </w:rPr>
        <w:t>.2</w:t>
      </w:r>
      <w:r>
        <w:rPr>
          <w:color w:val="000000"/>
          <w:szCs w:val="24"/>
          <w:vertAlign w:val="superscript"/>
          <w:lang w:eastAsia="lt-LT"/>
        </w:rPr>
        <w:t>1</w:t>
      </w:r>
      <w:r>
        <w:rPr>
          <w:color w:val="000000"/>
          <w:szCs w:val="24"/>
          <w:lang w:eastAsia="lt-LT"/>
        </w:rPr>
        <w:t xml:space="preserve"> 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„3</w:t>
            </w:r>
            <w:r>
              <w:rPr>
                <w:color w:val="000000"/>
                <w:szCs w:val="24"/>
                <w:vertAlign w:val="superscript"/>
                <w:lang w:eastAsia="lt-LT"/>
              </w:rPr>
              <w:t>1</w:t>
            </w:r>
            <w:r>
              <w:rPr>
                <w:color w:val="000000"/>
                <w:szCs w:val="24"/>
                <w:lang w:eastAsia="lt-LT"/>
              </w:rPr>
              <w:t>.2</w:t>
            </w:r>
            <w:r>
              <w:rPr>
                <w:color w:val="000000"/>
                <w:szCs w:val="24"/>
                <w:vertAlign w:val="superscript"/>
                <w:lang w:eastAsia="lt-LT"/>
              </w:rPr>
              <w:t>1</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Logistikos specialistas“</w:t>
            </w:r>
          </w:p>
        </w:tc>
      </w:tr>
    </w:tbl>
    <w:p/>
    <w:p>
      <w:pPr>
        <w:spacing w:line="360" w:lineRule="atLeast"/>
        <w:ind w:left="720" w:hanging="360"/>
        <w:jc w:val="both"/>
        <w:rPr>
          <w:szCs w:val="24"/>
          <w:lang w:eastAsia="lt-LT"/>
        </w:rPr>
      </w:pPr>
      <w:r>
        <w:rPr>
          <w:szCs w:val="24"/>
          <w:lang w:eastAsia="lt-LT"/>
        </w:rPr>
        <w:t>5</w:t>
      </w:r>
      <w:r>
        <w:rPr>
          <w:szCs w:val="24"/>
          <w:lang w:eastAsia="lt-LT"/>
        </w:rPr>
        <w:t>.</w:t>
        <w:tab/>
        <w:t>Papildyti 3</w:t>
      </w:r>
      <w:r>
        <w:rPr>
          <w:szCs w:val="24"/>
          <w:vertAlign w:val="superscript"/>
          <w:lang w:eastAsia="lt-LT"/>
        </w:rPr>
        <w:t>1</w:t>
      </w:r>
      <w:r>
        <w:rPr>
          <w:szCs w:val="24"/>
          <w:lang w:eastAsia="lt-LT"/>
        </w:rPr>
        <w:t>.5</w:t>
      </w:r>
      <w:r>
        <w:rPr>
          <w:szCs w:val="24"/>
          <w:vertAlign w:val="superscript"/>
          <w:lang w:eastAsia="lt-LT"/>
        </w:rPr>
        <w:t>1</w:t>
      </w:r>
      <w:r>
        <w:rPr>
          <w:szCs w:val="24"/>
          <w:lang w:eastAsia="lt-LT"/>
        </w:rPr>
        <w:t xml:space="preserve"> </w:t>
      </w:r>
      <w:r>
        <w:rPr>
          <w:color w:val="000000"/>
          <w:szCs w:val="24"/>
          <w:lang w:eastAsia="lt-LT"/>
        </w:rPr>
        <w:t>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w:t>
            </w:r>
            <w:r>
              <w:rPr>
                <w:szCs w:val="24"/>
                <w:lang w:eastAsia="lt-LT"/>
              </w:rPr>
              <w:t>3</w:t>
            </w:r>
            <w:r>
              <w:rPr>
                <w:szCs w:val="24"/>
                <w:vertAlign w:val="superscript"/>
                <w:lang w:eastAsia="lt-LT"/>
              </w:rPr>
              <w:t>1</w:t>
            </w:r>
            <w:r>
              <w:rPr>
                <w:szCs w:val="24"/>
                <w:lang w:eastAsia="lt-LT"/>
              </w:rPr>
              <w:t>.5</w:t>
            </w:r>
            <w:r>
              <w:rPr>
                <w:szCs w:val="24"/>
                <w:vertAlign w:val="superscript"/>
                <w:lang w:eastAsia="lt-LT"/>
              </w:rPr>
              <w:t>1</w:t>
            </w:r>
            <w:r>
              <w:rPr>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Prekių ir paslaugų pirkimo specialistas“</w:t>
            </w:r>
          </w:p>
        </w:tc>
      </w:tr>
    </w:tbl>
    <w:p/>
    <w:p>
      <w:pPr>
        <w:spacing w:line="360" w:lineRule="atLeast"/>
        <w:ind w:left="720" w:hanging="360"/>
        <w:jc w:val="both"/>
        <w:rPr>
          <w:szCs w:val="24"/>
          <w:lang w:eastAsia="lt-LT"/>
        </w:rPr>
      </w:pPr>
      <w:r>
        <w:rPr>
          <w:szCs w:val="24"/>
          <w:lang w:eastAsia="lt-LT"/>
        </w:rPr>
        <w:t>6</w:t>
      </w:r>
      <w:r>
        <w:rPr>
          <w:szCs w:val="24"/>
          <w:lang w:eastAsia="lt-LT"/>
        </w:rPr>
        <w:t>.</w:t>
        <w:tab/>
        <w:t xml:space="preserve">Papildyti </w:t>
      </w:r>
      <w:r>
        <w:rPr>
          <w:color w:val="000000"/>
          <w:szCs w:val="24"/>
          <w:lang w:eastAsia="lt-LT"/>
        </w:rPr>
        <w:t>4.5</w:t>
      </w:r>
      <w:r>
        <w:rPr>
          <w:color w:val="000000"/>
          <w:szCs w:val="24"/>
          <w:vertAlign w:val="superscript"/>
          <w:lang w:eastAsia="lt-LT"/>
        </w:rPr>
        <w:t xml:space="preserve"> </w:t>
      </w:r>
      <w:r>
        <w:rPr>
          <w:color w:val="000000"/>
          <w:szCs w:val="24"/>
          <w:lang w:eastAsia="lt-LT"/>
        </w:rPr>
        <w:t>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„4.5.</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Objektų apsaugos specialistas“</w:t>
            </w:r>
          </w:p>
        </w:tc>
      </w:tr>
    </w:tbl>
    <w:p/>
    <w:p>
      <w:pPr>
        <w:spacing w:line="360" w:lineRule="atLeast"/>
        <w:ind w:left="720" w:hanging="360"/>
        <w:jc w:val="both"/>
        <w:rPr>
          <w:szCs w:val="24"/>
          <w:lang w:eastAsia="lt-LT"/>
        </w:rPr>
      </w:pPr>
      <w:r>
        <w:rPr>
          <w:szCs w:val="24"/>
          <w:lang w:eastAsia="lt-LT"/>
        </w:rPr>
        <w:t>7</w:t>
      </w:r>
      <w:r>
        <w:rPr>
          <w:szCs w:val="24"/>
          <w:lang w:eastAsia="lt-LT"/>
        </w:rPr>
        <w:t>.</w:t>
        <w:tab/>
        <w:t>Papildyti 7.11–7.13 papunkčiais:</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„7.11.</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Metodininkas</w:t>
            </w:r>
          </w:p>
        </w:tc>
      </w:tr>
      <w:tr>
        <w:trPr>
          <w:trHeight w:val="361"/>
        </w:trPr>
        <w:tc>
          <w:tcPr>
            <w:tcW w:w="1300" w:type="dxa"/>
            <w:shd w:val="clear" w:color="auto" w:fill="auto"/>
            <w:noWrap/>
          </w:tcPr>
          <w:p>
            <w:pPr>
              <w:tabs>
                <w:tab w:val="center" w:pos="4153"/>
                <w:tab w:val="left" w:pos="6237"/>
                <w:tab w:val="right" w:pos="8306"/>
              </w:tabs>
              <w:spacing w:line="360" w:lineRule="atLeast"/>
              <w:rPr>
                <w:color w:val="000000"/>
                <w:szCs w:val="24"/>
                <w:lang w:eastAsia="lt-LT"/>
              </w:rPr>
            </w:pPr>
            <w:r>
              <w:t>7.12.</w:t>
            </w:r>
          </w:p>
        </w:tc>
        <w:tc>
          <w:tcPr>
            <w:tcW w:w="7766" w:type="dxa"/>
            <w:shd w:val="clear" w:color="auto" w:fill="auto"/>
          </w:tcPr>
          <w:p>
            <w:pPr>
              <w:tabs>
                <w:tab w:val="center" w:pos="4153"/>
                <w:tab w:val="left" w:pos="6237"/>
                <w:tab w:val="right" w:pos="8306"/>
              </w:tabs>
              <w:spacing w:line="360" w:lineRule="atLeast"/>
              <w:rPr>
                <w:color w:val="000000"/>
                <w:szCs w:val="24"/>
                <w:lang w:eastAsia="lt-LT"/>
              </w:rPr>
            </w:pPr>
            <w:r>
              <w:t>Metodininkas</w:t>
            </w:r>
          </w:p>
        </w:tc>
      </w:tr>
      <w:tr>
        <w:trPr>
          <w:trHeight w:val="361"/>
        </w:trPr>
        <w:tc>
          <w:tcPr>
            <w:tcW w:w="1300" w:type="dxa"/>
            <w:shd w:val="clear" w:color="auto" w:fill="auto"/>
            <w:noWrap/>
          </w:tcPr>
          <w:p>
            <w:pPr>
              <w:tabs>
                <w:tab w:val="center" w:pos="4153"/>
                <w:tab w:val="left" w:pos="6237"/>
                <w:tab w:val="right" w:pos="8306"/>
              </w:tabs>
              <w:spacing w:line="360" w:lineRule="atLeast"/>
              <w:rPr>
                <w:color w:val="000000"/>
                <w:szCs w:val="24"/>
                <w:lang w:eastAsia="lt-LT"/>
              </w:rPr>
            </w:pPr>
            <w:r>
              <w:t>7.13.</w:t>
            </w:r>
          </w:p>
        </w:tc>
        <w:tc>
          <w:tcPr>
            <w:tcW w:w="7766" w:type="dxa"/>
            <w:shd w:val="clear" w:color="auto" w:fill="auto"/>
          </w:tcPr>
          <w:p>
            <w:pPr>
              <w:tabs>
                <w:tab w:val="center" w:pos="4153"/>
                <w:tab w:val="left" w:pos="6237"/>
                <w:tab w:val="right" w:pos="8306"/>
              </w:tabs>
              <w:spacing w:line="360" w:lineRule="atLeast"/>
              <w:rPr>
                <w:color w:val="000000"/>
                <w:szCs w:val="24"/>
                <w:lang w:eastAsia="lt-LT"/>
              </w:rPr>
            </w:pPr>
            <w:r>
              <w:t>Metodininkas“</w:t>
            </w:r>
          </w:p>
        </w:tc>
      </w:tr>
    </w:tbl>
    <w:p/>
    <w:p>
      <w:pPr>
        <w:spacing w:line="360" w:lineRule="atLeast"/>
        <w:ind w:left="720" w:hanging="360"/>
        <w:jc w:val="both"/>
        <w:rPr>
          <w:szCs w:val="24"/>
          <w:lang w:eastAsia="lt-LT"/>
        </w:rPr>
      </w:pPr>
      <w:r>
        <w:rPr>
          <w:szCs w:val="24"/>
          <w:lang w:eastAsia="lt-LT"/>
        </w:rPr>
        <w:t>8</w:t>
      </w:r>
      <w:r>
        <w:rPr>
          <w:szCs w:val="24"/>
          <w:lang w:eastAsia="lt-LT"/>
        </w:rPr>
        <w:t>.</w:t>
        <w:tab/>
        <w:t xml:space="preserve">Papildyti </w:t>
      </w:r>
      <w:r>
        <w:rPr>
          <w:color w:val="000000"/>
          <w:szCs w:val="24"/>
          <w:lang w:eastAsia="lt-LT"/>
        </w:rPr>
        <w:t>9.5</w:t>
      </w:r>
      <w:r>
        <w:rPr>
          <w:color w:val="000000"/>
          <w:szCs w:val="24"/>
          <w:vertAlign w:val="superscript"/>
          <w:lang w:eastAsia="lt-LT"/>
        </w:rPr>
        <w:t>1</w:t>
      </w:r>
      <w:r>
        <w:rPr>
          <w:color w:val="000000"/>
          <w:szCs w:val="24"/>
          <w:lang w:eastAsia="lt-LT"/>
        </w:rPr>
        <w:t xml:space="preserve"> 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„9.5</w:t>
            </w:r>
            <w:r>
              <w:rPr>
                <w:color w:val="000000"/>
                <w:szCs w:val="24"/>
                <w:vertAlign w:val="superscript"/>
                <w:lang w:eastAsia="lt-LT"/>
              </w:rPr>
              <w:t>1</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Logistikos specialistas“</w:t>
            </w:r>
          </w:p>
        </w:tc>
      </w:tr>
    </w:tbl>
    <w:p/>
    <w:p>
      <w:pPr>
        <w:spacing w:line="360" w:lineRule="atLeast"/>
        <w:ind w:left="720" w:hanging="360"/>
        <w:jc w:val="both"/>
        <w:rPr>
          <w:szCs w:val="24"/>
          <w:lang w:eastAsia="lt-LT"/>
        </w:rPr>
      </w:pPr>
      <w:r>
        <w:rPr>
          <w:szCs w:val="24"/>
          <w:lang w:eastAsia="lt-LT"/>
        </w:rPr>
        <w:t>9</w:t>
      </w:r>
      <w:r>
        <w:rPr>
          <w:szCs w:val="24"/>
          <w:lang w:eastAsia="lt-LT"/>
        </w:rPr>
        <w:t>.</w:t>
        <w:tab/>
        <w:t xml:space="preserve">Papildyti </w:t>
      </w:r>
      <w:r>
        <w:rPr>
          <w:color w:val="000000"/>
          <w:szCs w:val="24"/>
          <w:lang w:eastAsia="lt-LT"/>
        </w:rPr>
        <w:t>10.5</w:t>
      </w:r>
      <w:r>
        <w:rPr>
          <w:color w:val="000000"/>
          <w:szCs w:val="24"/>
          <w:vertAlign w:val="superscript"/>
          <w:lang w:eastAsia="lt-LT"/>
        </w:rPr>
        <w:t xml:space="preserve">2 </w:t>
      </w:r>
      <w:r>
        <w:rPr>
          <w:color w:val="000000"/>
          <w:szCs w:val="24"/>
          <w:lang w:eastAsia="lt-LT"/>
        </w:rPr>
        <w:t>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„10.5</w:t>
            </w:r>
            <w:r>
              <w:rPr>
                <w:color w:val="000000"/>
                <w:szCs w:val="24"/>
                <w:vertAlign w:val="superscript"/>
                <w:lang w:eastAsia="lt-LT"/>
              </w:rPr>
              <w:t>2</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Logistikos specialistas“</w:t>
            </w:r>
          </w:p>
        </w:tc>
      </w:tr>
    </w:tbl>
    <w:p/>
    <w:p>
      <w:pPr>
        <w:spacing w:line="360" w:lineRule="atLeast"/>
        <w:ind w:left="720" w:hanging="360"/>
        <w:jc w:val="both"/>
        <w:rPr>
          <w:szCs w:val="24"/>
          <w:lang w:eastAsia="lt-LT"/>
        </w:rPr>
      </w:pPr>
      <w:r>
        <w:rPr>
          <w:szCs w:val="24"/>
          <w:lang w:eastAsia="lt-LT"/>
        </w:rPr>
        <w:t>10</w:t>
      </w:r>
      <w:r>
        <w:rPr>
          <w:szCs w:val="24"/>
          <w:lang w:eastAsia="lt-LT"/>
        </w:rPr>
        <w:t>.</w:t>
        <w:tab/>
        <w:t xml:space="preserve">Papildyti </w:t>
      </w:r>
      <w:r>
        <w:rPr>
          <w:color w:val="000000"/>
          <w:szCs w:val="24"/>
          <w:lang w:eastAsia="lt-LT"/>
        </w:rPr>
        <w:t>11.4</w:t>
      </w:r>
      <w:r>
        <w:rPr>
          <w:color w:val="000000"/>
          <w:szCs w:val="24"/>
          <w:vertAlign w:val="superscript"/>
          <w:lang w:eastAsia="lt-LT"/>
        </w:rPr>
        <w:t xml:space="preserve">1 </w:t>
      </w:r>
      <w:r>
        <w:rPr>
          <w:color w:val="000000"/>
          <w:szCs w:val="24"/>
          <w:lang w:eastAsia="lt-LT"/>
        </w:rPr>
        <w:t>papunkčiu:</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766"/>
      </w:tblGrid>
      <w:tr>
        <w:trPr>
          <w:trHeight w:val="361"/>
        </w:trPr>
        <w:tc>
          <w:tcPr>
            <w:tcW w:w="1300" w:type="dxa"/>
            <w:shd w:val="clear" w:color="auto" w:fill="auto"/>
            <w:noWrap/>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„11.4</w:t>
            </w:r>
            <w:r>
              <w:rPr>
                <w:color w:val="000000"/>
                <w:szCs w:val="24"/>
                <w:vertAlign w:val="superscript"/>
                <w:lang w:eastAsia="lt-LT"/>
              </w:rPr>
              <w:t>1</w:t>
            </w:r>
            <w:r>
              <w:rPr>
                <w:color w:val="000000"/>
                <w:szCs w:val="24"/>
                <w:lang w:eastAsia="lt-LT"/>
              </w:rPr>
              <w:t>.</w:t>
            </w:r>
          </w:p>
        </w:tc>
        <w:tc>
          <w:tcPr>
            <w:tcW w:w="7766" w:type="dxa"/>
            <w:shd w:val="clear" w:color="auto" w:fill="auto"/>
            <w:vAlign w:val="center"/>
          </w:tcPr>
          <w:p>
            <w:pPr>
              <w:tabs>
                <w:tab w:val="center" w:pos="4153"/>
                <w:tab w:val="left" w:pos="6237"/>
                <w:tab w:val="right" w:pos="8306"/>
              </w:tabs>
              <w:spacing w:line="360" w:lineRule="atLeast"/>
              <w:rPr>
                <w:color w:val="000000"/>
                <w:szCs w:val="24"/>
                <w:lang w:eastAsia="lt-LT"/>
              </w:rPr>
            </w:pPr>
            <w:r>
              <w:rPr>
                <w:color w:val="000000"/>
                <w:szCs w:val="24"/>
                <w:lang w:eastAsia="lt-LT"/>
              </w:rPr>
              <w:t>Personalo specialistas“</w:t>
            </w:r>
          </w:p>
        </w:tc>
      </w:tr>
    </w:tbl>
    <w:p/>
    <w:p>
      <w:pPr>
        <w:spacing w:line="360" w:lineRule="atLeast"/>
        <w:ind w:left="720" w:hanging="360"/>
        <w:jc w:val="both"/>
        <w:rPr>
          <w:szCs w:val="24"/>
          <w:lang w:eastAsia="lt-LT"/>
        </w:rPr>
      </w:pPr>
      <w:r>
        <w:rPr>
          <w:szCs w:val="24"/>
          <w:lang w:eastAsia="lt-LT"/>
        </w:rPr>
        <w:t>11</w:t>
      </w:r>
      <w:r>
        <w:rPr>
          <w:szCs w:val="24"/>
          <w:lang w:eastAsia="lt-LT"/>
        </w:rPr>
        <w:t>.</w:t>
        <w:tab/>
        <w:t>Papildyti 14.3</w:t>
      </w:r>
      <w:r>
        <w:rPr>
          <w:szCs w:val="24"/>
          <w:vertAlign w:val="superscript"/>
          <w:lang w:eastAsia="lt-LT"/>
        </w:rPr>
        <w:t>2</w:t>
      </w:r>
      <w:r>
        <w:rPr>
          <w:szCs w:val="24"/>
          <w:lang w:eastAsia="lt-LT"/>
        </w:rPr>
        <w:t xml:space="preserve"> papunkčiu: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48"/>
      </w:tblGrid>
      <w:tr>
        <w:tc>
          <w:tcPr>
            <w:tcW w:w="1413" w:type="dxa"/>
          </w:tcPr>
          <w:p>
            <w:pPr>
              <w:spacing w:line="360" w:lineRule="atLeast"/>
              <w:jc w:val="both"/>
              <w:rPr>
                <w:szCs w:val="24"/>
                <w:lang w:eastAsia="lt-LT"/>
              </w:rPr>
            </w:pPr>
            <w:r>
              <w:rPr>
                <w:szCs w:val="24"/>
                <w:lang w:eastAsia="lt-LT"/>
              </w:rPr>
              <w:t>„14.3</w:t>
            </w:r>
            <w:r>
              <w:rPr>
                <w:szCs w:val="24"/>
                <w:vertAlign w:val="superscript"/>
                <w:lang w:eastAsia="lt-LT"/>
              </w:rPr>
              <w:t>2</w:t>
            </w:r>
            <w:r>
              <w:rPr>
                <w:szCs w:val="24"/>
                <w:lang w:eastAsia="lt-LT"/>
              </w:rPr>
              <w:t>.</w:t>
            </w:r>
          </w:p>
        </w:tc>
        <w:tc>
          <w:tcPr>
            <w:tcW w:w="7648" w:type="dxa"/>
          </w:tcPr>
          <w:p>
            <w:pPr>
              <w:spacing w:line="360" w:lineRule="atLeast"/>
              <w:jc w:val="both"/>
              <w:rPr>
                <w:szCs w:val="24"/>
                <w:lang w:eastAsia="lt-LT"/>
              </w:rPr>
            </w:pPr>
            <w:r>
              <w:rPr>
                <w:szCs w:val="24"/>
                <w:lang w:eastAsia="lt-LT"/>
              </w:rPr>
              <w:t>Personalo specialistas“</w:t>
            </w:r>
          </w:p>
        </w:tc>
      </w:tr>
    </w:tbl>
    <w:p/>
    <w:p>
      <w:pPr>
        <w:spacing w:line="360" w:lineRule="atLeast"/>
        <w:ind w:left="720" w:hanging="360"/>
        <w:jc w:val="both"/>
        <w:rPr>
          <w:szCs w:val="24"/>
          <w:lang w:eastAsia="lt-LT"/>
        </w:rPr>
      </w:pPr>
      <w:r>
        <w:rPr>
          <w:szCs w:val="24"/>
          <w:lang w:eastAsia="lt-LT"/>
        </w:rPr>
        <w:t>12</w:t>
      </w:r>
      <w:r>
        <w:rPr>
          <w:szCs w:val="24"/>
          <w:lang w:eastAsia="lt-LT"/>
        </w:rPr>
        <w:t>.</w:t>
        <w:tab/>
        <w:t xml:space="preserve"> Papildyti 17.5</w:t>
      </w:r>
      <w:r>
        <w:rPr>
          <w:szCs w:val="24"/>
          <w:vertAlign w:val="superscript"/>
          <w:lang w:eastAsia="lt-LT"/>
        </w:rPr>
        <w:t>1</w:t>
      </w:r>
      <w:r>
        <w:rPr>
          <w:szCs w:val="24"/>
          <w:lang w:eastAsia="lt-LT"/>
        </w:rPr>
        <w:t xml:space="preserve"> papunkčiu: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48"/>
      </w:tblGrid>
      <w:tr>
        <w:tc>
          <w:tcPr>
            <w:tcW w:w="1413" w:type="dxa"/>
          </w:tcPr>
          <w:p>
            <w:pPr>
              <w:spacing w:line="360" w:lineRule="atLeast"/>
              <w:jc w:val="both"/>
              <w:rPr>
                <w:szCs w:val="24"/>
                <w:lang w:eastAsia="lt-LT"/>
              </w:rPr>
            </w:pPr>
            <w:r>
              <w:rPr>
                <w:szCs w:val="24"/>
                <w:lang w:eastAsia="lt-LT"/>
              </w:rPr>
              <w:t>„17.5</w:t>
            </w:r>
            <w:r>
              <w:rPr>
                <w:szCs w:val="24"/>
                <w:vertAlign w:val="superscript"/>
                <w:lang w:eastAsia="lt-LT"/>
              </w:rPr>
              <w:t>1</w:t>
            </w:r>
            <w:r>
              <w:rPr>
                <w:szCs w:val="24"/>
                <w:lang w:eastAsia="lt-LT"/>
              </w:rPr>
              <w:t>.</w:t>
            </w:r>
          </w:p>
        </w:tc>
        <w:tc>
          <w:tcPr>
            <w:tcW w:w="7648" w:type="dxa"/>
          </w:tcPr>
          <w:p>
            <w:pPr>
              <w:spacing w:line="360" w:lineRule="atLeast"/>
              <w:jc w:val="both"/>
              <w:rPr>
                <w:szCs w:val="24"/>
                <w:lang w:eastAsia="lt-LT"/>
              </w:rPr>
            </w:pPr>
            <w:r>
              <w:rPr>
                <w:szCs w:val="24"/>
                <w:lang w:eastAsia="lt-LT"/>
              </w:rPr>
              <w:t>Logistikos specialistas“</w:t>
            </w:r>
          </w:p>
        </w:tc>
      </w:tr>
    </w:tbl>
    <w:p>
      <w:pPr>
        <w:spacing w:line="360" w:lineRule="atLeast"/>
        <w:jc w:val="both"/>
        <w:rPr>
          <w:szCs w:val="24"/>
          <w:lang w:eastAsia="lt-LT"/>
        </w:rPr>
      </w:pPr>
    </w:p>
    <w:p>
      <w:pPr>
        <w:tabs>
          <w:tab w:val="center" w:pos="-7800"/>
          <w:tab w:val="left" w:pos="6237"/>
          <w:tab w:val="right" w:pos="8306"/>
        </w:tabs>
        <w:spacing w:line="360" w:lineRule="atLeast"/>
        <w:rPr>
          <w:szCs w:val="24"/>
          <w:lang w:eastAsia="lt-LT"/>
        </w:rPr>
      </w:pPr>
      <w:r>
        <w:rPr>
          <w:szCs w:val="24"/>
          <w:lang w:eastAsia="lt-LT"/>
        </w:rPr>
        <w:t>Ministras Pirmininkas</w:t>
        <w:tab/>
        <w:t xml:space="preserve">                 </w:t>
      </w:r>
    </w:p>
    <w:p>
      <w:pPr>
        <w:tabs>
          <w:tab w:val="center" w:pos="-7800"/>
          <w:tab w:val="left" w:pos="6237"/>
          <w:tab w:val="right" w:pos="8306"/>
        </w:tabs>
        <w:spacing w:line="360" w:lineRule="atLeast"/>
        <w:rPr>
          <w:szCs w:val="24"/>
          <w:lang w:eastAsia="lt-LT"/>
        </w:rPr>
      </w:pPr>
    </w:p>
    <w:p>
      <w:pPr>
        <w:tabs>
          <w:tab w:val="center" w:pos="-7800"/>
          <w:tab w:val="left" w:pos="6237"/>
          <w:tab w:val="right" w:pos="8306"/>
        </w:tabs>
        <w:spacing w:line="360" w:lineRule="atLeast"/>
        <w:rPr>
          <w:szCs w:val="24"/>
          <w:lang w:eastAsia="lt-LT"/>
        </w:rPr>
      </w:pPr>
      <w:r>
        <w:rPr>
          <w:szCs w:val="24"/>
          <w:lang w:eastAsia="lt-LT"/>
        </w:rPr>
        <w:t xml:space="preserve">Krašto apsaugos ministras                                                                            </w:t>
      </w:r>
    </w:p>
    <w:p>
      <w:pPr>
        <w:tabs>
          <w:tab w:val="center" w:pos="-7800"/>
          <w:tab w:val="left" w:pos="6237"/>
          <w:tab w:val="right" w:pos="8306"/>
        </w:tabs>
        <w:spacing w:line="360" w:lineRule="atLeast"/>
        <w:ind w:firstLine="6237"/>
        <w:rPr>
          <w:szCs w:val="24"/>
          <w:lang w:eastAsia="lt-LT"/>
        </w:rPr>
      </w:pPr>
    </w:p>
    <w:sectPr>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701" w:header="567" w:footer="567" w:gutter="0"/>
      <w:cols w:space="1296"/>
      <w:titlePg/>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lang w:eastAsia="lt-LT"/>
        </w:rPr>
      </w:pPr>
      <w:r>
        <w:rPr>
          <w:lang w:eastAsia="lt-LT"/>
        </w:rPr>
        <w:separator/>
      </w:r>
    </w:p>
  </w:endnote>
  <w:endnote w:type="continuationSeparator" w:id="0">
    <w:p>
      <w:pPr>
        <w:rPr>
          <w:lang w:eastAsia="lt-LT"/>
        </w:rPr>
      </w:pPr>
      <w:r>
        <w:rPr>
          <w:lang w:eastAsia="lt-LT"/>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153"/>
        <w:tab w:val="right" w:pos="8306"/>
      </w:tabs>
      <w:rPr>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lang w:eastAsia="lt-LT"/>
        </w:rPr>
      </w:pPr>
      <w:r>
        <w:rPr>
          <w:lang w:eastAsia="lt-LT"/>
        </w:rPr>
        <w:separator/>
      </w:r>
    </w:p>
  </w:footnote>
  <w:footnote w:type="continuationSeparator" w:id="0">
    <w:p>
      <w:pPr>
        <w:rPr>
          <w:lang w:eastAsia="lt-LT"/>
        </w:rPr>
      </w:pPr>
      <w:r>
        <w:rPr>
          <w:lang w:eastAsia="lt-LT"/>
        </w:rP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sz w:val="22"/>
        <w:szCs w:val="22"/>
        <w:lang w:val="en-US" w:eastAsia="lt-LT"/>
      </w:rPr>
    </w:pPr>
    <w:r>
      <w:rPr>
        <w:sz w:val="22"/>
        <w:szCs w:val="22"/>
        <w:lang w:val="en-US" w:eastAsia="lt-LT"/>
      </w:rPr>
      <w:fldChar w:fldCharType="begin"/>
    </w:r>
    <w:r>
      <w:rPr>
        <w:sz w:val="22"/>
        <w:szCs w:val="22"/>
        <w:lang w:val="en-US" w:eastAsia="lt-LT"/>
      </w:rPr>
      <w:instrText xml:space="preserve">PAGE  </w:instrText>
    </w:r>
    <w:r>
      <w:rPr>
        <w:sz w:val="22"/>
        <w:szCs w:val="22"/>
        <w:lang w:val="en-US" w:eastAsia="lt-LT"/>
      </w:rPr>
      <w:fldChar w:fldCharType="separate"/>
    </w:r>
    <w:r>
      <w:rPr>
        <w:sz w:val="22"/>
        <w:szCs w:val="22"/>
        <w:lang w:val="en-US" w:eastAsia="lt-LT"/>
      </w:rPr>
      <w:t>1</w:t>
    </w:r>
    <w:r>
      <w:rPr>
        <w:sz w:val="22"/>
        <w:szCs w:val="22"/>
        <w:lang w:val="en-US" w:eastAsia="lt-LT"/>
      </w:rPr>
      <w:fldChar w:fldCharType="end"/>
    </w:r>
  </w:p>
  <w:p>
    <w:pPr>
      <w:tabs>
        <w:tab w:val="center" w:pos="4153"/>
        <w:tab w:val="right" w:pos="8306"/>
      </w:tabs>
      <w:spacing w:after="160" w:line="259" w:lineRule="auto"/>
      <w:rPr>
        <w:sz w:val="22"/>
        <w:szCs w:val="22"/>
        <w:lang w:val="en-US"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framePr w:wrap="auto" w:vAnchor="text" w:hAnchor="margin" w:xAlign="center" w:y="1"/>
      <w:tabs>
        <w:tab w:val="center" w:pos="4153"/>
        <w:tab w:val="right" w:pos="8306"/>
      </w:tabs>
      <w:spacing w:after="160" w:line="259" w:lineRule="auto"/>
      <w:rPr>
        <w:sz w:val="22"/>
        <w:szCs w:val="22"/>
        <w:lang w:val="en-US" w:eastAsia="lt-LT"/>
      </w:rPr>
    </w:pPr>
    <w:r>
      <w:rPr>
        <w:sz w:val="22"/>
        <w:szCs w:val="22"/>
        <w:lang w:val="en-US" w:eastAsia="lt-LT"/>
      </w:rPr>
      <w:fldChar w:fldCharType="begin"/>
    </w:r>
    <w:r>
      <w:rPr>
        <w:sz w:val="22"/>
        <w:szCs w:val="22"/>
        <w:lang w:val="en-US" w:eastAsia="lt-LT"/>
      </w:rPr>
      <w:instrText xml:space="preserve">PAGE  </w:instrText>
    </w:r>
    <w:r>
      <w:rPr>
        <w:sz w:val="22"/>
        <w:szCs w:val="22"/>
        <w:lang w:val="en-US" w:eastAsia="lt-LT"/>
      </w:rPr>
      <w:fldChar w:fldCharType="separate"/>
    </w:r>
    <w:r>
      <w:rPr>
        <w:sz w:val="22"/>
        <w:szCs w:val="22"/>
        <w:lang w:val="en-US" w:eastAsia="lt-LT"/>
      </w:rPr>
      <w:t>2</w:t>
    </w:r>
    <w:r>
      <w:rPr>
        <w:sz w:val="22"/>
        <w:szCs w:val="22"/>
        <w:lang w:val="en-US" w:eastAsia="lt-LT"/>
      </w:rPr>
      <w:fldChar w:fldCharType="end"/>
    </w:r>
  </w:p>
  <w:p>
    <w:pPr>
      <w:tabs>
        <w:tab w:val="center" w:pos="4153"/>
        <w:tab w:val="right" w:pos="8306"/>
      </w:tabs>
      <w:spacing w:after="160" w:line="259" w:lineRule="auto"/>
      <w:rPr>
        <w:sz w:val="22"/>
        <w:szCs w:val="22"/>
        <w:lang w:val="en-US"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986"/>
        <w:tab w:val="right" w:pos="9972"/>
      </w:tabs>
      <w:spacing w:after="160" w:line="259" w:lineRule="auto"/>
      <w:rPr>
        <w:sz w:val="22"/>
        <w:szCs w:val="22"/>
        <w:lang w:val="en-US"/>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396"/>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docId w15:val="{09A0A653-ABAE-4506-AFA1-D2CC381A53F9}"/>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2359506">
      <w:bodyDiv w:val="1"/>
      <w:marLeft w:val="0"/>
      <w:marRight w:val="0"/>
      <w:marTop w:val="0"/>
      <w:marBottom w:val="0"/>
      <w:divBdr>
        <w:top w:val="none" w:sz="0" w:space="0" w:color="auto"/>
        <w:left w:val="none" w:sz="0" w:space="0" w:color="auto"/>
        <w:bottom w:val="none" w:sz="0" w:space="0" w:color="auto"/>
        <w:right w:val="none" w:sz="0" w:space="0" w:color="auto"/>
      </w:divBdr>
    </w:div>
    <w:div w:id="11735340">
      <w:bodyDiv w:val="1"/>
      <w:marLeft w:val="0"/>
      <w:marRight w:val="0"/>
      <w:marTop w:val="0"/>
      <w:marBottom w:val="0"/>
      <w:divBdr>
        <w:top w:val="none" w:sz="0" w:space="0" w:color="auto"/>
        <w:left w:val="none" w:sz="0" w:space="0" w:color="auto"/>
        <w:bottom w:val="none" w:sz="0" w:space="0" w:color="auto"/>
        <w:right w:val="none" w:sz="0" w:space="0" w:color="auto"/>
      </w:divBdr>
    </w:div>
    <w:div w:id="36467207">
      <w:bodyDiv w:val="1"/>
      <w:marLeft w:val="0"/>
      <w:marRight w:val="0"/>
      <w:marTop w:val="0"/>
      <w:marBottom w:val="0"/>
      <w:divBdr>
        <w:top w:val="none" w:sz="0" w:space="0" w:color="auto"/>
        <w:left w:val="none" w:sz="0" w:space="0" w:color="auto"/>
        <w:bottom w:val="none" w:sz="0" w:space="0" w:color="auto"/>
        <w:right w:val="none" w:sz="0" w:space="0" w:color="auto"/>
      </w:divBdr>
    </w:div>
    <w:div w:id="67268575">
      <w:bodyDiv w:val="1"/>
      <w:marLeft w:val="0"/>
      <w:marRight w:val="0"/>
      <w:marTop w:val="0"/>
      <w:marBottom w:val="0"/>
      <w:divBdr>
        <w:top w:val="none" w:sz="0" w:space="0" w:color="auto"/>
        <w:left w:val="none" w:sz="0" w:space="0" w:color="auto"/>
        <w:bottom w:val="none" w:sz="0" w:space="0" w:color="auto"/>
        <w:right w:val="none" w:sz="0" w:space="0" w:color="auto"/>
      </w:divBdr>
    </w:div>
    <w:div w:id="116260901">
      <w:bodyDiv w:val="1"/>
      <w:marLeft w:val="0"/>
      <w:marRight w:val="0"/>
      <w:marTop w:val="0"/>
      <w:marBottom w:val="0"/>
      <w:divBdr>
        <w:top w:val="none" w:sz="0" w:space="0" w:color="auto"/>
        <w:left w:val="none" w:sz="0" w:space="0" w:color="auto"/>
        <w:bottom w:val="none" w:sz="0" w:space="0" w:color="auto"/>
        <w:right w:val="none" w:sz="0" w:space="0" w:color="auto"/>
      </w:divBdr>
    </w:div>
    <w:div w:id="124350699">
      <w:bodyDiv w:val="1"/>
      <w:marLeft w:val="0"/>
      <w:marRight w:val="0"/>
      <w:marTop w:val="0"/>
      <w:marBottom w:val="0"/>
      <w:divBdr>
        <w:top w:val="none" w:sz="0" w:space="0" w:color="auto"/>
        <w:left w:val="none" w:sz="0" w:space="0" w:color="auto"/>
        <w:bottom w:val="none" w:sz="0" w:space="0" w:color="auto"/>
        <w:right w:val="none" w:sz="0" w:space="0" w:color="auto"/>
      </w:divBdr>
    </w:div>
    <w:div w:id="153112326">
      <w:bodyDiv w:val="1"/>
      <w:marLeft w:val="0"/>
      <w:marRight w:val="0"/>
      <w:marTop w:val="0"/>
      <w:marBottom w:val="0"/>
      <w:divBdr>
        <w:top w:val="none" w:sz="0" w:space="0" w:color="auto"/>
        <w:left w:val="none" w:sz="0" w:space="0" w:color="auto"/>
        <w:bottom w:val="none" w:sz="0" w:space="0" w:color="auto"/>
        <w:right w:val="none" w:sz="0" w:space="0" w:color="auto"/>
      </w:divBdr>
    </w:div>
    <w:div w:id="170414718">
      <w:bodyDiv w:val="1"/>
      <w:marLeft w:val="0"/>
      <w:marRight w:val="0"/>
      <w:marTop w:val="0"/>
      <w:marBottom w:val="0"/>
      <w:divBdr>
        <w:top w:val="none" w:sz="0" w:space="0" w:color="auto"/>
        <w:left w:val="none" w:sz="0" w:space="0" w:color="auto"/>
        <w:bottom w:val="none" w:sz="0" w:space="0" w:color="auto"/>
        <w:right w:val="none" w:sz="0" w:space="0" w:color="auto"/>
      </w:divBdr>
    </w:div>
    <w:div w:id="182285502">
      <w:bodyDiv w:val="1"/>
      <w:marLeft w:val="0"/>
      <w:marRight w:val="0"/>
      <w:marTop w:val="0"/>
      <w:marBottom w:val="0"/>
      <w:divBdr>
        <w:top w:val="none" w:sz="0" w:space="0" w:color="auto"/>
        <w:left w:val="none" w:sz="0" w:space="0" w:color="auto"/>
        <w:bottom w:val="none" w:sz="0" w:space="0" w:color="auto"/>
        <w:right w:val="none" w:sz="0" w:space="0" w:color="auto"/>
      </w:divBdr>
    </w:div>
    <w:div w:id="290749668">
      <w:bodyDiv w:val="1"/>
      <w:marLeft w:val="0"/>
      <w:marRight w:val="0"/>
      <w:marTop w:val="0"/>
      <w:marBottom w:val="0"/>
      <w:divBdr>
        <w:top w:val="none" w:sz="0" w:space="0" w:color="auto"/>
        <w:left w:val="none" w:sz="0" w:space="0" w:color="auto"/>
        <w:bottom w:val="none" w:sz="0" w:space="0" w:color="auto"/>
        <w:right w:val="none" w:sz="0" w:space="0" w:color="auto"/>
      </w:divBdr>
    </w:div>
    <w:div w:id="304429178">
      <w:bodyDiv w:val="1"/>
      <w:marLeft w:val="0"/>
      <w:marRight w:val="0"/>
      <w:marTop w:val="0"/>
      <w:marBottom w:val="0"/>
      <w:divBdr>
        <w:top w:val="none" w:sz="0" w:space="0" w:color="auto"/>
        <w:left w:val="none" w:sz="0" w:space="0" w:color="auto"/>
        <w:bottom w:val="none" w:sz="0" w:space="0" w:color="auto"/>
        <w:right w:val="none" w:sz="0" w:space="0" w:color="auto"/>
      </w:divBdr>
    </w:div>
    <w:div w:id="403726364">
      <w:bodyDiv w:val="1"/>
      <w:marLeft w:val="0"/>
      <w:marRight w:val="0"/>
      <w:marTop w:val="0"/>
      <w:marBottom w:val="0"/>
      <w:divBdr>
        <w:top w:val="none" w:sz="0" w:space="0" w:color="auto"/>
        <w:left w:val="none" w:sz="0" w:space="0" w:color="auto"/>
        <w:bottom w:val="none" w:sz="0" w:space="0" w:color="auto"/>
        <w:right w:val="none" w:sz="0" w:space="0" w:color="auto"/>
      </w:divBdr>
    </w:div>
    <w:div w:id="505289782">
      <w:bodyDiv w:val="1"/>
      <w:marLeft w:val="0"/>
      <w:marRight w:val="0"/>
      <w:marTop w:val="0"/>
      <w:marBottom w:val="0"/>
      <w:divBdr>
        <w:top w:val="none" w:sz="0" w:space="0" w:color="auto"/>
        <w:left w:val="none" w:sz="0" w:space="0" w:color="auto"/>
        <w:bottom w:val="none" w:sz="0" w:space="0" w:color="auto"/>
        <w:right w:val="none" w:sz="0" w:space="0" w:color="auto"/>
      </w:divBdr>
    </w:div>
    <w:div w:id="583615039">
      <w:bodyDiv w:val="1"/>
      <w:marLeft w:val="0"/>
      <w:marRight w:val="0"/>
      <w:marTop w:val="0"/>
      <w:marBottom w:val="0"/>
      <w:divBdr>
        <w:top w:val="none" w:sz="0" w:space="0" w:color="auto"/>
        <w:left w:val="none" w:sz="0" w:space="0" w:color="auto"/>
        <w:bottom w:val="none" w:sz="0" w:space="0" w:color="auto"/>
        <w:right w:val="none" w:sz="0" w:space="0" w:color="auto"/>
      </w:divBdr>
    </w:div>
    <w:div w:id="604925779">
      <w:bodyDiv w:val="1"/>
      <w:marLeft w:val="0"/>
      <w:marRight w:val="0"/>
      <w:marTop w:val="0"/>
      <w:marBottom w:val="0"/>
      <w:divBdr>
        <w:top w:val="none" w:sz="0" w:space="0" w:color="auto"/>
        <w:left w:val="none" w:sz="0" w:space="0" w:color="auto"/>
        <w:bottom w:val="none" w:sz="0" w:space="0" w:color="auto"/>
        <w:right w:val="none" w:sz="0" w:space="0" w:color="auto"/>
      </w:divBdr>
    </w:div>
    <w:div w:id="1108163846">
      <w:bodyDiv w:val="1"/>
      <w:marLeft w:val="0"/>
      <w:marRight w:val="0"/>
      <w:marTop w:val="0"/>
      <w:marBottom w:val="0"/>
      <w:divBdr>
        <w:top w:val="none" w:sz="0" w:space="0" w:color="auto"/>
        <w:left w:val="none" w:sz="0" w:space="0" w:color="auto"/>
        <w:bottom w:val="none" w:sz="0" w:space="0" w:color="auto"/>
        <w:right w:val="none" w:sz="0" w:space="0" w:color="auto"/>
      </w:divBdr>
    </w:div>
    <w:div w:id="1108814644">
      <w:bodyDiv w:val="1"/>
      <w:marLeft w:val="0"/>
      <w:marRight w:val="0"/>
      <w:marTop w:val="0"/>
      <w:marBottom w:val="0"/>
      <w:divBdr>
        <w:top w:val="none" w:sz="0" w:space="0" w:color="auto"/>
        <w:left w:val="none" w:sz="0" w:space="0" w:color="auto"/>
        <w:bottom w:val="none" w:sz="0" w:space="0" w:color="auto"/>
        <w:right w:val="none" w:sz="0" w:space="0" w:color="auto"/>
      </w:divBdr>
    </w:div>
    <w:div w:id="1161194042">
      <w:bodyDiv w:val="1"/>
      <w:marLeft w:val="0"/>
      <w:marRight w:val="0"/>
      <w:marTop w:val="0"/>
      <w:marBottom w:val="0"/>
      <w:divBdr>
        <w:top w:val="none" w:sz="0" w:space="0" w:color="auto"/>
        <w:left w:val="none" w:sz="0" w:space="0" w:color="auto"/>
        <w:bottom w:val="none" w:sz="0" w:space="0" w:color="auto"/>
        <w:right w:val="none" w:sz="0" w:space="0" w:color="auto"/>
      </w:divBdr>
    </w:div>
    <w:div w:id="1174610642">
      <w:bodyDiv w:val="1"/>
      <w:marLeft w:val="0"/>
      <w:marRight w:val="0"/>
      <w:marTop w:val="0"/>
      <w:marBottom w:val="0"/>
      <w:divBdr>
        <w:top w:val="none" w:sz="0" w:space="0" w:color="auto"/>
        <w:left w:val="none" w:sz="0" w:space="0" w:color="auto"/>
        <w:bottom w:val="none" w:sz="0" w:space="0" w:color="auto"/>
        <w:right w:val="none" w:sz="0" w:space="0" w:color="auto"/>
      </w:divBdr>
    </w:div>
    <w:div w:id="1195340392">
      <w:bodyDiv w:val="1"/>
      <w:marLeft w:val="0"/>
      <w:marRight w:val="0"/>
      <w:marTop w:val="0"/>
      <w:marBottom w:val="0"/>
      <w:divBdr>
        <w:top w:val="none" w:sz="0" w:space="0" w:color="auto"/>
        <w:left w:val="none" w:sz="0" w:space="0" w:color="auto"/>
        <w:bottom w:val="none" w:sz="0" w:space="0" w:color="auto"/>
        <w:right w:val="none" w:sz="0" w:space="0" w:color="auto"/>
      </w:divBdr>
    </w:div>
    <w:div w:id="1285885701">
      <w:bodyDiv w:val="1"/>
      <w:marLeft w:val="0"/>
      <w:marRight w:val="0"/>
      <w:marTop w:val="0"/>
      <w:marBottom w:val="0"/>
      <w:divBdr>
        <w:top w:val="none" w:sz="0" w:space="0" w:color="auto"/>
        <w:left w:val="none" w:sz="0" w:space="0" w:color="auto"/>
        <w:bottom w:val="none" w:sz="0" w:space="0" w:color="auto"/>
        <w:right w:val="none" w:sz="0" w:space="0" w:color="auto"/>
      </w:divBdr>
    </w:div>
    <w:div w:id="1338270017">
      <w:marLeft w:val="0"/>
      <w:marRight w:val="0"/>
      <w:marTop w:val="0"/>
      <w:marBottom w:val="0"/>
      <w:divBdr>
        <w:top w:val="none" w:sz="0" w:space="0" w:color="auto"/>
        <w:left w:val="none" w:sz="0" w:space="0" w:color="auto"/>
        <w:bottom w:val="none" w:sz="0" w:space="0" w:color="auto"/>
        <w:right w:val="none" w:sz="0" w:space="0" w:color="auto"/>
      </w:divBdr>
    </w:div>
    <w:div w:id="1338270018">
      <w:marLeft w:val="0"/>
      <w:marRight w:val="0"/>
      <w:marTop w:val="0"/>
      <w:marBottom w:val="0"/>
      <w:divBdr>
        <w:top w:val="none" w:sz="0" w:space="0" w:color="auto"/>
        <w:left w:val="none" w:sz="0" w:space="0" w:color="auto"/>
        <w:bottom w:val="none" w:sz="0" w:space="0" w:color="auto"/>
        <w:right w:val="none" w:sz="0" w:space="0" w:color="auto"/>
      </w:divBdr>
    </w:div>
    <w:div w:id="1338270019">
      <w:marLeft w:val="0"/>
      <w:marRight w:val="0"/>
      <w:marTop w:val="0"/>
      <w:marBottom w:val="0"/>
      <w:divBdr>
        <w:top w:val="none" w:sz="0" w:space="0" w:color="auto"/>
        <w:left w:val="none" w:sz="0" w:space="0" w:color="auto"/>
        <w:bottom w:val="none" w:sz="0" w:space="0" w:color="auto"/>
        <w:right w:val="none" w:sz="0" w:space="0" w:color="auto"/>
      </w:divBdr>
    </w:div>
    <w:div w:id="1338270020">
      <w:marLeft w:val="0"/>
      <w:marRight w:val="0"/>
      <w:marTop w:val="0"/>
      <w:marBottom w:val="0"/>
      <w:divBdr>
        <w:top w:val="none" w:sz="0" w:space="0" w:color="auto"/>
        <w:left w:val="none" w:sz="0" w:space="0" w:color="auto"/>
        <w:bottom w:val="none" w:sz="0" w:space="0" w:color="auto"/>
        <w:right w:val="none" w:sz="0" w:space="0" w:color="auto"/>
      </w:divBdr>
    </w:div>
    <w:div w:id="1338270021">
      <w:marLeft w:val="0"/>
      <w:marRight w:val="0"/>
      <w:marTop w:val="0"/>
      <w:marBottom w:val="0"/>
      <w:divBdr>
        <w:top w:val="none" w:sz="0" w:space="0" w:color="auto"/>
        <w:left w:val="none" w:sz="0" w:space="0" w:color="auto"/>
        <w:bottom w:val="none" w:sz="0" w:space="0" w:color="auto"/>
        <w:right w:val="none" w:sz="0" w:space="0" w:color="auto"/>
      </w:divBdr>
    </w:div>
    <w:div w:id="1418284648">
      <w:bodyDiv w:val="1"/>
      <w:marLeft w:val="0"/>
      <w:marRight w:val="0"/>
      <w:marTop w:val="0"/>
      <w:marBottom w:val="0"/>
      <w:divBdr>
        <w:top w:val="none" w:sz="0" w:space="0" w:color="auto"/>
        <w:left w:val="none" w:sz="0" w:space="0" w:color="auto"/>
        <w:bottom w:val="none" w:sz="0" w:space="0" w:color="auto"/>
        <w:right w:val="none" w:sz="0" w:space="0" w:color="auto"/>
      </w:divBdr>
    </w:div>
    <w:div w:id="1659381756">
      <w:bodyDiv w:val="1"/>
      <w:marLeft w:val="0"/>
      <w:marRight w:val="0"/>
      <w:marTop w:val="0"/>
      <w:marBottom w:val="0"/>
      <w:divBdr>
        <w:top w:val="none" w:sz="0" w:space="0" w:color="auto"/>
        <w:left w:val="none" w:sz="0" w:space="0" w:color="auto"/>
        <w:bottom w:val="none" w:sz="0" w:space="0" w:color="auto"/>
        <w:right w:val="none" w:sz="0" w:space="0" w:color="auto"/>
      </w:divBdr>
    </w:div>
    <w:div w:id="1873878728">
      <w:bodyDiv w:val="1"/>
      <w:marLeft w:val="0"/>
      <w:marRight w:val="0"/>
      <w:marTop w:val="0"/>
      <w:marBottom w:val="0"/>
      <w:divBdr>
        <w:top w:val="none" w:sz="0" w:space="0" w:color="auto"/>
        <w:left w:val="none" w:sz="0" w:space="0" w:color="auto"/>
        <w:bottom w:val="none" w:sz="0" w:space="0" w:color="auto"/>
        <w:right w:val="none" w:sz="0" w:space="0" w:color="auto"/>
      </w:divBdr>
    </w:div>
    <w:div w:id="1987854717">
      <w:bodyDiv w:val="1"/>
      <w:marLeft w:val="0"/>
      <w:marRight w:val="0"/>
      <w:marTop w:val="0"/>
      <w:marBottom w:val="0"/>
      <w:divBdr>
        <w:top w:val="none" w:sz="0" w:space="0" w:color="auto"/>
        <w:left w:val="none" w:sz="0" w:space="0" w:color="auto"/>
        <w:bottom w:val="none" w:sz="0" w:space="0" w:color="auto"/>
        <w:right w:val="none" w:sz="0" w:space="0" w:color="auto"/>
      </w:divBdr>
    </w:div>
    <w:div w:id="20906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0CBD9-8DCF-4AA6-8B10-24EDAB08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1546</Characters>
  <Application>Microsoft Office Word</Application>
  <DocSecurity>4</DocSecurity>
  <Lines>70</Lines>
  <Paragraphs>62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LRVK</Company>
  <LinksUpToDate>false</LinksUpToDate>
  <CharactersWithSpaces>1691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2024-11-25T14:43:00Z</dcterms:created>
  <dc:creator>lrvk</dc:creator>
  <lastModifiedBy>adlibuser</lastModifiedBy>
  <lastPrinted>2024-10-08T13:43:00Z</lastPrinted>
  <dcterms:modified xsi:type="dcterms:W3CDTF">2024-11-25T14:43:00Z</dcterms:modified>
  <revision>2</revision>
</coreProperties>
</file>