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14:paraId="6D795E5E" w14:textId="77777777">
      <w:pPr>
        <w:tabs>
          <w:tab w:val="center" w:pos="4819"/>
          <w:tab w:val="right" w:pos="9638"/>
        </w:tabs>
        <w:ind w:firstLine="720"/>
        <w:jc w:val="right"/>
        <w:rPr>
          <w:b/>
          <w:bCs/>
          <w:szCs w:val="24"/>
          <w:lang w:eastAsia="lt-LT"/>
        </w:rPr>
      </w:pPr>
      <w:r>
        <w:rPr>
          <w:b/>
          <w:bCs/>
          <w:szCs w:val="24"/>
          <w:lang w:eastAsia="lt-LT"/>
        </w:rPr>
        <w:t>Projektas</w:t>
      </w:r>
    </w:p>
    <w:p w14:paraId="653DEBBD" w14:textId="77777777">
      <w:pPr>
        <w:jc w:val="center"/>
        <w:rPr>
          <w:b/>
          <w:bCs/>
          <w:szCs w:val="24"/>
          <w:lang w:eastAsia="lt-LT"/>
        </w:rPr>
      </w:pPr>
    </w:p>
    <w:p w14:paraId="7ED2A31F" w14:textId="436A6F55">
      <w:pPr>
        <w:jc w:val="center"/>
        <w:rPr>
          <w:b/>
          <w:bCs/>
          <w:szCs w:val="24"/>
          <w:lang w:eastAsia="lt-LT"/>
        </w:rPr>
      </w:pPr>
      <w:r>
        <w:rPr>
          <w:b/>
          <w:bCs/>
          <w:szCs w:val="24"/>
          <w:lang w:eastAsia="lt-LT"/>
        </w:rPr>
        <w:t>LIETUVOS RESPUBLIKOS VYRIAUSYBĖ</w:t>
      </w:r>
    </w:p>
    <w:p w14:paraId="42B80914" w14:textId="77777777">
      <w:pPr>
        <w:jc w:val="center"/>
        <w:rPr>
          <w:b/>
          <w:bCs/>
          <w:szCs w:val="24"/>
          <w:lang w:eastAsia="lt-LT"/>
        </w:rPr>
      </w:pPr>
    </w:p>
    <w:p w14:paraId="71C8C589" w14:textId="5B937338">
      <w:pPr>
        <w:jc w:val="center"/>
        <w:rPr>
          <w:b/>
          <w:bCs/>
          <w:szCs w:val="24"/>
          <w:lang w:eastAsia="lt-LT"/>
        </w:rPr>
      </w:pPr>
      <w:r>
        <w:rPr>
          <w:b/>
          <w:bCs/>
          <w:szCs w:val="24"/>
          <w:lang w:eastAsia="lt-LT"/>
        </w:rPr>
        <w:t>NUTARIMAS</w:t>
      </w:r>
    </w:p>
    <w:p w14:paraId="2BDEE725" w14:textId="77777777">
      <w:pPr>
        <w:jc w:val="center"/>
        <w:rPr>
          <w:b/>
          <w:szCs w:val="24"/>
          <w:lang w:eastAsia="lt-LT"/>
        </w:rPr>
      </w:pPr>
      <w:r>
        <w:rPr>
          <w:b/>
          <w:szCs w:val="24"/>
          <w:lang w:eastAsia="lt-LT"/>
        </w:rPr>
        <w:t xml:space="preserve">DĖL VALSTYBĖS ILGALAIKIO MATERIALIOJO TURTO PERDAVIMO </w:t>
      </w:r>
    </w:p>
    <w:p w14:paraId="76EECEB5" w14:textId="5D694DEA">
      <w:pPr>
        <w:jc w:val="center"/>
        <w:rPr>
          <w:b/>
          <w:szCs w:val="24"/>
          <w:lang w:eastAsia="lt-LT"/>
        </w:rPr>
      </w:pPr>
      <w:r>
        <w:rPr>
          <w:b/>
          <w:szCs w:val="24"/>
          <w:lang w:eastAsia="lt-LT"/>
        </w:rPr>
        <w:t>PATIKĖJIMO TEISE LIETUVOS KALĖJIMŲ TARNYBAI</w:t>
      </w:r>
    </w:p>
    <w:p w14:paraId="427CEDA4" w14:textId="77777777">
      <w:pPr>
        <w:jc w:val="center"/>
        <w:rPr>
          <w:szCs w:val="24"/>
          <w:lang w:eastAsia="lt-LT"/>
        </w:rPr>
      </w:pPr>
    </w:p>
    <w:p w14:paraId="4DB57808" w14:textId="70AF4EC5">
      <w:pPr>
        <w:jc w:val="center"/>
        <w:rPr>
          <w:szCs w:val="24"/>
          <w:lang w:eastAsia="lt-LT"/>
        </w:rPr>
      </w:pPr>
      <w:r>
        <w:rPr>
          <w:szCs w:val="24"/>
          <w:lang w:eastAsia="lt-LT"/>
        </w:rPr>
        <w:t xml:space="preserve">2024 m.                       d. Nr.                </w:t>
      </w:r>
    </w:p>
    <w:p w14:paraId="45CAA160" w14:textId="77777777">
      <w:pPr>
        <w:jc w:val="center"/>
        <w:rPr>
          <w:szCs w:val="24"/>
          <w:lang w:eastAsia="lt-LT"/>
        </w:rPr>
      </w:pPr>
      <w:r>
        <w:rPr>
          <w:szCs w:val="24"/>
          <w:lang w:eastAsia="lt-LT"/>
        </w:rPr>
        <w:t>Vilnius</w:t>
      </w:r>
    </w:p>
    <w:p w14:paraId="099DAAE2" w14:textId="77777777">
      <w:pPr>
        <w:jc w:val="center"/>
        <w:rPr>
          <w:szCs w:val="24"/>
          <w:lang w:eastAsia="lt-LT"/>
        </w:rPr>
      </w:pPr>
    </w:p>
    <w:p w14:paraId="00B14CC3" w14:textId="1C1D5DC4">
      <w:pPr>
        <w:ind w:firstLine="720"/>
        <w:jc w:val="both"/>
        <w:rPr>
          <w:szCs w:val="24"/>
          <w:lang w:eastAsia="lt-LT"/>
        </w:rPr>
      </w:pPr>
      <w:r>
        <w:rPr>
          <w:szCs w:val="24"/>
          <w:lang w:eastAsia="lt-LT"/>
        </w:rPr>
        <w:t xml:space="preserve">Vadovaudamasi Lietuvos Respublikos valstybės ir savivaldybių turto valdymo, naudojimo ir disponavimo juo įstatymo </w:t>
      </w:r>
      <w:r>
        <w:rPr>
          <w:color w:val="000000"/>
          <w:szCs w:val="24"/>
          <w:lang w:eastAsia="lt-LT"/>
        </w:rPr>
        <w:t xml:space="preserve">7 straipsnio 1 dalimi ir 10 straipsnio 1 ir 2 dalimis, </w:t>
      </w:r>
      <w:r>
        <w:rPr>
          <w:szCs w:val="24"/>
          <w:lang w:eastAsia="lt-LT"/>
        </w:rPr>
        <w:t>Lietuvos Respublikos valstybės ir savivaldybės įmonių įstatymo 13 straipsnio 6 dalimi</w:t>
      </w:r>
      <w:r>
        <w:rPr>
          <w:color w:val="000000"/>
          <w:szCs w:val="24"/>
          <w:lang w:eastAsia="lt-LT"/>
        </w:rPr>
        <w:t xml:space="preserve"> ir</w:t>
      </w:r>
      <w:r>
        <w:rPr>
          <w:szCs w:val="24"/>
          <w:lang w:eastAsia="lt-LT"/>
        </w:rPr>
        <w:t xml:space="preserve"> įgyvendindama </w:t>
      </w:r>
      <w:r>
        <w:rPr>
          <w:rFonts w:eastAsia="Calibri"/>
          <w:szCs w:val="24"/>
          <w:lang w:eastAsia="lt-LT"/>
        </w:rPr>
        <w:t xml:space="preserve">Valstybės turto perdavimo patikėjimo teise ir savivaldybių nuosavybėn tvarkos aprašą, patvirtintą Lietuvos Respublikos Vyriausybės 2001 m. sausio 5 d. nutarimu Nr. 16 „Dėl valstybės turto perdavimo patikėjimo teise ir savivaldybių nuosavybėn“, </w:t>
      </w:r>
      <w:r>
        <w:rPr>
          <w:szCs w:val="24"/>
          <w:lang w:eastAsia="lt-LT"/>
        </w:rPr>
        <w:t>Lietuvos Respublikos Vyriausybė</w:t>
      </w:r>
      <w:r>
        <w:rPr>
          <w:spacing w:val="100"/>
          <w:szCs w:val="24"/>
          <w:lang w:eastAsia="lt-LT"/>
        </w:rPr>
        <w:t xml:space="preserve"> </w:t>
      </w:r>
      <w:r>
        <w:rPr>
          <w:spacing w:val="60"/>
          <w:szCs w:val="24"/>
          <w:lang w:eastAsia="lt-LT"/>
        </w:rPr>
        <w:t>nutari</w:t>
      </w:r>
      <w:r>
        <w:rPr>
          <w:szCs w:val="24"/>
          <w:lang w:eastAsia="lt-LT"/>
        </w:rPr>
        <w:t>a:</w:t>
      </w:r>
    </w:p>
    <w:p w14:paraId="5827CC07" w14:textId="71A17E16">
      <w:pPr>
        <w:tabs>
          <w:tab w:val="left" w:pos="1134"/>
        </w:tabs>
        <w:ind w:firstLine="720"/>
        <w:jc w:val="both"/>
        <w:rPr>
          <w:szCs w:val="24"/>
          <w:lang w:eastAsia="lt-LT"/>
        </w:rPr>
      </w:pPr>
      <w:r>
        <w:rPr>
          <w:rFonts w:eastAsia="Calibri"/>
          <w:szCs w:val="24"/>
          <w:lang w:eastAsia="lt-LT"/>
        </w:rPr>
        <w:t>1</w:t>
      </w:r>
      <w:r>
        <w:rPr>
          <w:rFonts w:eastAsia="Calibri"/>
          <w:szCs w:val="24"/>
          <w:lang w:eastAsia="lt-LT"/>
        </w:rPr>
        <w:t xml:space="preserve">. </w:t>
      </w:r>
      <w:r>
        <w:rPr>
          <w:szCs w:val="24"/>
          <w:lang w:eastAsia="lt-LT"/>
        </w:rPr>
        <w:t>Perduoti patikėjimo teise Lietuvos kalėjimų tarnybai valstybei nuosavybės teise priklausantį ir šiuo metu likviduojamos dėl bankroto valstybės įmonės „Mūsų amatai“ patikėjimo teise valdomą ilgalaikį materialųjį turtą, nurodytą šio nutarimo priede.</w:t>
      </w:r>
    </w:p>
    <w:p w14:paraId="4CC6C422" w14:textId="5EFA2F8A">
      <w:pPr>
        <w:ind w:firstLine="720"/>
        <w:jc w:val="both"/>
        <w:rPr>
          <w:szCs w:val="24"/>
          <w:lang w:eastAsia="lt-LT"/>
        </w:rPr>
      </w:pPr>
      <w:r>
        <w:rPr>
          <w:szCs w:val="24"/>
          <w:lang w:eastAsia="lt-LT"/>
        </w:rPr>
        <w:t>2</w:t>
      </w:r>
      <w:r>
        <w:rPr>
          <w:szCs w:val="24"/>
          <w:lang w:eastAsia="lt-LT"/>
        </w:rPr>
        <w:t>. Nustatyti, kad, perdavus šio nutarimo priede nurodytą ilgalaikį materialųjį turtą, likviduojamos dėl bankroto valstybės įmonės „Mūsų amatai“ turto vertės (704 718,17 Eur (septyni šimtai keturi tūkstančiai septyni šimtai aštuoniolika eurų ir septyniolika centų)) sumažėjimas turi būti įregistruotas šios įmonės savininko kapitalo dalyje.</w:t>
      </w:r>
    </w:p>
    <w:p w14:paraId="005F2AB1" w14:textId="77777777">
      <w:pPr>
        <w:tabs>
          <w:tab w:val="center" w:pos="-7800"/>
          <w:tab w:val="left" w:pos="6237"/>
          <w:tab w:val="right" w:pos="8306"/>
        </w:tabs>
        <w:ind w:firstLine="720"/>
        <w:rPr>
          <w:szCs w:val="24"/>
          <w:lang w:eastAsia="lt-LT"/>
        </w:rPr>
      </w:pPr>
    </w:p>
    <w:p w14:paraId="3E2B490B" w14:textId="77777777">
      <w:pPr>
        <w:tabs>
          <w:tab w:val="center" w:pos="-7800"/>
          <w:tab w:val="left" w:pos="6237"/>
          <w:tab w:val="right" w:pos="8306"/>
        </w:tabs>
        <w:ind w:firstLine="720"/>
        <w:rPr>
          <w:szCs w:val="24"/>
          <w:lang w:eastAsia="lt-LT"/>
        </w:rPr>
      </w:pPr>
    </w:p>
    <w:p w14:paraId="5099E985" w14:textId="77777777">
      <w:pPr>
        <w:tabs>
          <w:tab w:val="center" w:pos="-7800"/>
          <w:tab w:val="left" w:pos="6237"/>
          <w:tab w:val="right" w:pos="8306"/>
        </w:tabs>
        <w:ind w:firstLine="720"/>
        <w:rPr>
          <w:szCs w:val="24"/>
          <w:lang w:eastAsia="lt-LT"/>
        </w:rPr>
      </w:pPr>
    </w:p>
    <w:p w14:paraId="19F586FD" w14:textId="77777777">
      <w:pPr>
        <w:tabs>
          <w:tab w:val="right" w:pos="9638"/>
        </w:tabs>
        <w:rPr>
          <w:caps/>
          <w:szCs w:val="24"/>
          <w:lang w:eastAsia="lt-LT"/>
        </w:rPr>
      </w:pPr>
      <w:r>
        <w:rPr>
          <w:szCs w:val="24"/>
          <w:lang w:eastAsia="lt-LT"/>
        </w:rPr>
        <w:t>Ministras Pirmininkas</w:t>
      </w:r>
    </w:p>
    <w:p w14:paraId="7B485FEA" w14:textId="77777777">
      <w:pPr>
        <w:tabs>
          <w:tab w:val="right" w:pos="9638"/>
        </w:tabs>
        <w:rPr>
          <w:caps/>
          <w:szCs w:val="24"/>
          <w:lang w:eastAsia="lt-LT"/>
        </w:rPr>
      </w:pPr>
    </w:p>
    <w:p w14:paraId="22948334" w14:textId="77777777">
      <w:pPr>
        <w:tabs>
          <w:tab w:val="right" w:pos="9638"/>
        </w:tabs>
        <w:rPr>
          <w:szCs w:val="24"/>
          <w:lang w:eastAsia="lt-LT"/>
        </w:rPr>
      </w:pPr>
    </w:p>
    <w:p w14:paraId="367A2AA6" w14:textId="77777777">
      <w:pPr>
        <w:tabs>
          <w:tab w:val="right" w:pos="9638"/>
        </w:tabs>
        <w:rPr>
          <w:szCs w:val="24"/>
          <w:lang w:eastAsia="lt-LT"/>
        </w:rPr>
      </w:pPr>
    </w:p>
    <w:p w14:paraId="4A0A9B9C" w14:textId="243C246C">
      <w:pPr>
        <w:rPr>
          <w:szCs w:val="24"/>
          <w:lang w:eastAsia="lt-LT"/>
        </w:rPr>
      </w:pPr>
      <w:r>
        <w:rPr>
          <w:szCs w:val="24"/>
          <w:lang w:eastAsia="lt-LT"/>
        </w:rPr>
        <w:t>Teisingumo ministras</w:t>
      </w:r>
    </w:p>
    <w:p w14:paraId="07C2E418" w14:textId="77874362">
      <w:pPr>
        <w:ind w:firstLine="720"/>
        <w:rPr>
          <w:szCs w:val="24"/>
          <w:lang w:eastAsia="lt-LT"/>
        </w:rPr>
      </w:pPr>
    </w:p>
    <w:p w14:paraId="3A251D1C" w14:textId="1A6B1AF2">
      <w:pPr>
        <w:tabs>
          <w:tab w:val="right" w:pos="9638"/>
        </w:tabs>
        <w:rPr>
          <w:caps/>
          <w:szCs w:val="24"/>
          <w:lang w:eastAsia="lt-LT"/>
        </w:rPr>
      </w:pPr>
      <w:r>
        <w:rPr>
          <w:caps/>
          <w:szCs w:val="24"/>
          <w:lang w:eastAsia="lt-LT"/>
        </w:rPr>
        <w:tab/>
      </w:r>
    </w:p>
    <w:p w14:paraId="289365C3" w14:textId="77777777">
      <w:pPr>
        <w:tabs>
          <w:tab w:val="right" w:pos="9638"/>
        </w:tabs>
        <w:rPr>
          <w:caps/>
          <w:szCs w:val="24"/>
          <w:lang w:eastAsia="lt-LT"/>
        </w:rPr>
      </w:pPr>
    </w:p>
    <w:p w14:paraId="39B3C33B" w14:textId="77777777">
      <w:pPr>
        <w:ind w:left="5102"/>
        <w:rPr>
          <w:szCs w:val="24"/>
          <w:lang w:eastAsia="lt-LT"/>
        </w:rPr>
      </w:pPr>
    </w:p>
    <w:p w14:paraId="40557CA9" w14:textId="77777777">
      <w:pPr>
        <w:ind w:left="5102"/>
        <w:rPr>
          <w:szCs w:val="24"/>
          <w:lang w:eastAsia="lt-LT"/>
        </w:rPr>
      </w:pPr>
    </w:p>
    <w:p w14:paraId="2A9C2B26" w14:textId="77777777">
      <w:pPr>
        <w:ind w:left="5102"/>
        <w:rPr>
          <w:szCs w:val="24"/>
          <w:lang w:eastAsia="lt-LT"/>
        </w:rPr>
      </w:pPr>
    </w:p>
    <w:p w14:paraId="44301CC8" w14:textId="77777777">
      <w:pPr>
        <w:ind w:left="5102"/>
        <w:rPr>
          <w:szCs w:val="24"/>
          <w:lang w:eastAsia="lt-LT"/>
        </w:rPr>
      </w:pPr>
    </w:p>
    <w:p w14:paraId="04CD058B" w14:textId="77777777">
      <w:pPr>
        <w:ind w:left="5102"/>
        <w:rPr>
          <w:szCs w:val="24"/>
          <w:lang w:eastAsia="lt-LT"/>
        </w:rPr>
      </w:pPr>
    </w:p>
    <w:p w14:paraId="485A53A7" w14:textId="77777777">
      <w:pPr>
        <w:ind w:left="5102"/>
        <w:rPr>
          <w:szCs w:val="24"/>
          <w:lang w:eastAsia="lt-LT"/>
        </w:rPr>
      </w:pPr>
    </w:p>
    <w:p w14:paraId="4C480350" w14:textId="77777777">
      <w:pPr>
        <w:ind w:left="5102"/>
        <w:rPr>
          <w:szCs w:val="24"/>
          <w:lang w:eastAsia="lt-LT"/>
        </w:rPr>
      </w:pPr>
    </w:p>
    <w:p w14:paraId="01B3DF25" w14:textId="77777777">
      <w:pPr>
        <w:ind w:left="5102"/>
        <w:rPr>
          <w:szCs w:val="24"/>
          <w:lang w:eastAsia="lt-LT"/>
        </w:rPr>
      </w:pPr>
    </w:p>
    <w:p w14:paraId="6C844211" w14:textId="77777777">
      <w:pPr>
        <w:ind w:left="5102"/>
        <w:rPr>
          <w:szCs w:val="24"/>
          <w:lang w:eastAsia="lt-LT"/>
        </w:rPr>
      </w:pPr>
    </w:p>
    <w:p w14:paraId="28E765CA" w14:textId="77777777">
      <w:pPr>
        <w:rPr>
          <w:szCs w:val="24"/>
          <w:lang w:eastAsia="lt-LT"/>
        </w:rPr>
      </w:pPr>
    </w:p>
    <w:sectPr>
      <w:headerReference w:type="even" r:id="rId6"/>
      <w:headerReference w:type="default" r:id="rId7"/>
      <w:footerReference w:type="even" r:id="rId8"/>
      <w:footerReference w:type="default" r:id="rId9"/>
      <w:headerReference w:type="first" r:id="rId10"/>
      <w:footerReference w:type="first" r:id="rId11"/>
      <w:pgSz w:w="11907" w:h="16839" w:code="9"/>
      <w:pgMar w:top="1134" w:right="567" w:bottom="1134" w:left="1701" w:header="567" w:footer="567" w:gutter="0"/>
      <w:cols w:space="1296"/>
      <w:titlePg/>
      <w:docGrid w:linePitch="272"/>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782B6" w14:textId="77777777">
      <w:pPr>
        <w:ind w:firstLine="720"/>
        <w:rPr>
          <w:rFonts w:ascii="Arial" w:hAnsi="Arial" w:cs="Arial"/>
          <w:sz w:val="20"/>
          <w:lang w:eastAsia="lt-LT"/>
        </w:rPr>
      </w:pPr>
      <w:r>
        <w:rPr>
          <w:rFonts w:ascii="Arial" w:hAnsi="Arial" w:cs="Arial"/>
          <w:sz w:val="20"/>
          <w:lang w:eastAsia="lt-LT"/>
        </w:rPr>
        <w:separator/>
      </w:r>
    </w:p>
  </w:endnote>
  <w:endnote w:type="continuationSeparator" w:id="0">
    <w:p w14:paraId="00433199" w14:textId="77777777">
      <w:pPr>
        <w:ind w:firstLine="720"/>
        <w:rPr>
          <w:rFonts w:ascii="Arial" w:hAnsi="Arial" w:cs="Arial"/>
          <w:sz w:val="20"/>
          <w:lang w:eastAsia="lt-LT"/>
        </w:rPr>
      </w:pPr>
      <w:r>
        <w:rPr>
          <w:rFonts w:ascii="Arial" w:hAnsi="Arial" w:cs="Arial"/>
          <w:sz w:val="20"/>
          <w:lang w:eastAsia="lt-LT"/>
        </w:rP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3CF4" w14:textId="77777777">
    <w:pPr>
      <w:tabs>
        <w:tab w:val="center" w:pos="4819"/>
        <w:tab w:val="right" w:pos="9638"/>
      </w:tabs>
      <w:ind w:firstLine="720"/>
      <w:rPr>
        <w:rFonts w:ascii="Arial" w:hAnsi="Arial" w:cs="Arial"/>
        <w:sz w:val="20"/>
        <w:lang w:eastAsia="lt-LT"/>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F654A" w14:textId="77777777">
    <w:pPr>
      <w:tabs>
        <w:tab w:val="center" w:pos="4819"/>
        <w:tab w:val="right" w:pos="9638"/>
      </w:tabs>
      <w:ind w:firstLine="720"/>
      <w:rPr>
        <w:rFonts w:ascii="Arial" w:hAnsi="Arial" w:cs="Arial"/>
        <w:sz w:val="20"/>
        <w:lang w:eastAsia="lt-LT"/>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54F52" w14:textId="77777777">
    <w:pPr>
      <w:tabs>
        <w:tab w:val="center" w:pos="4819"/>
        <w:tab w:val="right" w:pos="9638"/>
      </w:tabs>
      <w:ind w:firstLine="720"/>
      <w:rPr>
        <w:rFonts w:ascii="Arial" w:hAnsi="Arial" w:cs="Arial"/>
        <w:sz w:val="20"/>
        <w:lang w:eastAsia="lt-LT"/>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D1C97" w14:textId="77777777">
      <w:pPr>
        <w:ind w:firstLine="720"/>
        <w:rPr>
          <w:rFonts w:ascii="Arial" w:hAnsi="Arial" w:cs="Arial"/>
          <w:sz w:val="20"/>
          <w:lang w:eastAsia="lt-LT"/>
        </w:rPr>
      </w:pPr>
      <w:r>
        <w:rPr>
          <w:rFonts w:ascii="Arial" w:hAnsi="Arial" w:cs="Arial"/>
          <w:sz w:val="20"/>
          <w:lang w:eastAsia="lt-LT"/>
        </w:rPr>
        <w:separator/>
      </w:r>
    </w:p>
  </w:footnote>
  <w:footnote w:type="continuationSeparator" w:id="0">
    <w:p w14:paraId="3097079C" w14:textId="77777777">
      <w:pPr>
        <w:ind w:firstLine="720"/>
        <w:rPr>
          <w:rFonts w:ascii="Arial" w:hAnsi="Arial" w:cs="Arial"/>
          <w:sz w:val="20"/>
          <w:lang w:eastAsia="lt-LT"/>
        </w:rPr>
      </w:pPr>
      <w:r>
        <w:rPr>
          <w:rFonts w:ascii="Arial" w:hAnsi="Arial" w:cs="Arial"/>
          <w:sz w:val="20"/>
          <w:lang w:eastAsia="lt-LT"/>
        </w:rP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3E12C" w14:textId="77777777">
    <w:pPr>
      <w:framePr w:wrap="auto" w:vAnchor="text" w:hAnchor="margin" w:xAlign="center" w:y="1"/>
      <w:tabs>
        <w:tab w:val="center" w:pos="4819"/>
        <w:tab w:val="right" w:pos="9638"/>
      </w:tabs>
      <w:ind w:firstLine="720"/>
      <w:rPr>
        <w:rFonts w:ascii="Arial" w:hAnsi="Arial" w:cs="Arial"/>
        <w:sz w:val="20"/>
        <w:lang w:eastAsia="lt-LT"/>
      </w:rPr>
    </w:pPr>
    <w:r>
      <w:rPr>
        <w:rFonts w:ascii="Arial" w:hAnsi="Arial" w:cs="Arial"/>
        <w:sz w:val="20"/>
        <w:lang w:eastAsia="lt-LT"/>
      </w:rPr>
      <w:fldChar w:fldCharType="begin"/>
    </w:r>
    <w:r>
      <w:rPr>
        <w:rFonts w:ascii="Arial" w:hAnsi="Arial" w:cs="Arial"/>
        <w:sz w:val="20"/>
        <w:lang w:eastAsia="lt-LT"/>
      </w:rPr>
      <w:instrText xml:space="preserve">PAGE  </w:instrText>
    </w:r>
    <w:r>
      <w:rPr>
        <w:rFonts w:ascii="Arial" w:hAnsi="Arial" w:cs="Arial"/>
        <w:sz w:val="20"/>
        <w:lang w:eastAsia="lt-LT"/>
      </w:rPr>
      <w:fldChar w:fldCharType="end"/>
    </w:r>
  </w:p>
  <w:p w14:paraId="179217C0" w14:textId="77777777">
    <w:pPr>
      <w:tabs>
        <w:tab w:val="center" w:pos="4819"/>
        <w:tab w:val="right" w:pos="9638"/>
      </w:tabs>
      <w:ind w:firstLine="720"/>
      <w:rPr>
        <w:rFonts w:ascii="Arial" w:hAnsi="Arial" w:cs="Arial"/>
        <w:sz w:val="20"/>
        <w:lang w:eastAsia="lt-LT"/>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2B138" w14:textId="77777777">
    <w:pPr>
      <w:framePr w:wrap="auto" w:vAnchor="text" w:hAnchor="margin" w:xAlign="center" w:y="1"/>
      <w:tabs>
        <w:tab w:val="center" w:pos="4819"/>
        <w:tab w:val="right" w:pos="9638"/>
      </w:tabs>
      <w:rPr>
        <w:rFonts w:ascii="Arial" w:hAnsi="Arial" w:cs="Arial"/>
        <w:sz w:val="20"/>
        <w:lang w:eastAsia="lt-LT"/>
      </w:rPr>
    </w:pPr>
    <w:r>
      <w:rPr>
        <w:rFonts w:ascii="Arial" w:hAnsi="Arial" w:cs="Arial"/>
        <w:sz w:val="20"/>
        <w:lang w:eastAsia="lt-LT"/>
      </w:rPr>
      <w:fldChar w:fldCharType="begin"/>
    </w:r>
    <w:r>
      <w:rPr>
        <w:rFonts w:ascii="Arial" w:hAnsi="Arial" w:cs="Arial"/>
        <w:sz w:val="20"/>
        <w:lang w:eastAsia="lt-LT"/>
      </w:rPr>
      <w:instrText xml:space="preserve">PAGE  </w:instrText>
    </w:r>
    <w:r>
      <w:rPr>
        <w:rFonts w:ascii="Arial" w:hAnsi="Arial" w:cs="Arial"/>
        <w:sz w:val="20"/>
        <w:lang w:eastAsia="lt-LT"/>
      </w:rPr>
      <w:fldChar w:fldCharType="separate"/>
    </w:r>
    <w:r>
      <w:rPr>
        <w:rFonts w:ascii="Arial" w:hAnsi="Arial" w:cs="Arial"/>
        <w:sz w:val="20"/>
        <w:lang w:eastAsia="lt-LT"/>
      </w:rPr>
      <w:t>2</w:t>
    </w:r>
    <w:r>
      <w:rPr>
        <w:rFonts w:ascii="Arial" w:hAnsi="Arial" w:cs="Arial"/>
        <w:sz w:val="20"/>
        <w:lang w:eastAsia="lt-LT"/>
      </w:rPr>
      <w:fldChar w:fldCharType="end"/>
    </w:r>
  </w:p>
  <w:p w14:paraId="04B57F46" w14:textId="77777777">
    <w:pPr>
      <w:tabs>
        <w:tab w:val="center" w:pos="4819"/>
        <w:tab w:val="right" w:pos="9638"/>
      </w:tabs>
      <w:ind w:firstLine="720"/>
      <w:rPr>
        <w:rFonts w:ascii="Arial" w:hAnsi="Arial" w:cs="Arial"/>
        <w:sz w:val="20"/>
        <w:lang w:eastAsia="lt-LT"/>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5C329" w14:textId="64262E30">
    <w:pPr>
      <w:tabs>
        <w:tab w:val="center" w:pos="4819"/>
        <w:tab w:val="right" w:pos="9638"/>
      </w:tabs>
      <w:ind w:firstLine="720"/>
      <w:rPr>
        <w:rFonts w:ascii="Arial" w:hAnsi="Arial" w:cs="Arial"/>
        <w:sz w:val="20"/>
        <w:lang w:eastAsia="lt-LT"/>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hyphenationZone w:val="396"/>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B9"/>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2B7746"/>
  <w15:chartTrackingRefBased/>
  <w15:docId w15:val="{4F613D39-F4CD-49AD-85AA-8753902AFA31}"/>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798258344">
      <w:bodyDiv w:val="1"/>
      <w:marLeft w:val="0"/>
      <w:marRight w:val="0"/>
      <w:marTop w:val="0"/>
      <w:marBottom w:val="0"/>
      <w:divBdr>
        <w:top w:val="none" w:sz="0" w:space="0" w:color="auto"/>
        <w:left w:val="none" w:sz="0" w:space="0" w:color="auto"/>
        <w:bottom w:val="none" w:sz="0" w:space="0" w:color="auto"/>
        <w:right w:val="none" w:sz="0" w:space="0" w:color="auto"/>
      </w:divBdr>
    </w:div>
    <w:div w:id="1011100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ntTable" Target="fontTable.xml"/>
  <Relationship Id="rId13" Type="http://schemas.openxmlformats.org/officeDocument/2006/relationships/theme" Target="theme/theme1.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otnotes" Target="footnotes.xml"/>
  <Relationship Id="rId5" Type="http://schemas.openxmlformats.org/officeDocument/2006/relationships/endnotes" Target="endnotes.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179</Words>
  <Characters>1248</Characters>
  <Application>Microsoft Office Word</Application>
  <DocSecurity>4</DocSecurity>
  <Lines>46</Lines>
  <Paragraphs>13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Dėl valstybės ilgalaikio materialiojo turto perdavimo patikėjimo teise Vilniaus pataisos namams ir Alytaus pataisos namams</vt:lpstr>
      <vt:lpstr> </vt:lpstr>
    </vt:vector>
  </TitlesOfParts>
  <Company>Infolex</Company>
  <LinksUpToDate>false</LinksUpToDate>
  <CharactersWithSpaces>1414</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2024-11-25T12:13:00Z</dcterms:created>
  <dc:creator>Infolex</dc:creator>
  <lastModifiedBy>adlibuser</lastModifiedBy>
  <lastPrinted>2017-06-01T05:28:00Z</lastPrinted>
  <dcterms:modified xsi:type="dcterms:W3CDTF">2024-11-25T12:13:00Z</dcterms:modified>
  <revision>2</revision>
  <dc:title>Dėl valstybės ilgalaikio materialiojo turto perdavimo patikėjimo teise Vilniaus pataisos namams ir Alytaus pataisos namams</dc:title>
</coreProperties>
</file>