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14:paraId="42F8537D" w14:textId="77777777">
      <w:pPr>
        <w:tabs>
          <w:tab w:val="center" w:pos="4153"/>
          <w:tab w:val="right" w:pos="8306"/>
        </w:tabs>
        <w:overflowPunct w:val="0"/>
        <w:jc w:val="both"/>
        <w:textAlignment w:val="baseline"/>
        <w:rPr>
          <w:lang w:val="en-GB"/>
        </w:rPr>
      </w:pPr>
      <w:r>
        <w:rPr>
          <w:lang w:val="en-GB"/>
        </w:rPr>
        <w:ptab w:relativeTo="margin" w:alignment="center" w:leader="none"/>
        <w:ptab w:relativeTo="margin" w:alignment="right" w:leader="none"/>
      </w:r>
      <w:r>
        <w:rPr>
          <w:b/>
          <w:bCs/>
          <w:lang w:val="en-GB"/>
        </w:rPr>
        <w:t>Projektas</w:t>
      </w:r>
    </w:p>
    <w:p w14:paraId="6DB20F6E" w14:textId="77777777">
      <w:pPr>
        <w:overflowPunct w:val="0"/>
        <w:jc w:val="center"/>
        <w:textAlignment w:val="baseline"/>
        <w:rPr>
          <w:b/>
          <w:sz w:val="28"/>
          <w:szCs w:val="28"/>
        </w:rPr>
      </w:pPr>
      <w:r>
        <w:rPr>
          <w:b/>
          <w:sz w:val="28"/>
          <w:szCs w:val="28"/>
        </w:rPr>
        <w:t>LIETUVOS RESPUBLIKOS ŽEMĖS ŪKIO MINISTRAS</w:t>
      </w:r>
    </w:p>
    <w:p w14:paraId="6306D83C" w14:textId="77777777">
      <w:pPr>
        <w:overflowPunct w:val="0"/>
        <w:jc w:val="center"/>
        <w:textAlignment w:val="baseline"/>
        <w:rPr>
          <w:b/>
          <w:sz w:val="28"/>
          <w:szCs w:val="28"/>
        </w:rPr>
      </w:pPr>
    </w:p>
    <w:p w14:paraId="18A25795" w14:textId="77777777">
      <w:pPr>
        <w:overflowPunct w:val="0"/>
        <w:jc w:val="center"/>
        <w:textAlignment w:val="baseline"/>
        <w:rPr>
          <w:b/>
          <w:szCs w:val="24"/>
        </w:rPr>
      </w:pPr>
      <w:r>
        <w:rPr>
          <w:b/>
          <w:szCs w:val="24"/>
        </w:rPr>
        <w:t>ĮSAKYMAS</w:t>
      </w:r>
    </w:p>
    <w:p w14:paraId="44825747" w14:textId="1C26DA2F">
      <w:pPr>
        <w:overflowPunct w:val="0"/>
        <w:jc w:val="center"/>
        <w:textAlignment w:val="baseline"/>
        <w:rPr>
          <w:b/>
        </w:rPr>
      </w:pPr>
      <w:r>
        <w:rPr>
          <w:b/>
          <w:bCs/>
          <w:caps/>
        </w:rPr>
        <w:t>DĖL ŽEMĖS ŪKIO MINISTRO 2009 M. GEGUŽĖS 29 D. ĮSAkymo NR. 3D-398 „DĖL TAUTINIO PAVELDO VEIKLOS FINANSAVIMO TAISYKLIŲ PATVIRTINIMO“ PAKEITIMO</w:t>
      </w:r>
    </w:p>
    <w:p w14:paraId="575B14E2" w14:textId="77777777">
      <w:pPr>
        <w:overflowPunct w:val="0"/>
        <w:jc w:val="center"/>
        <w:textAlignment w:val="baseline"/>
      </w:pPr>
    </w:p>
    <w:p w14:paraId="5C3D16FD" w14:textId="3D21415A">
      <w:pPr>
        <w:overflowPunct w:val="0"/>
        <w:spacing w:line="360" w:lineRule="auto"/>
        <w:jc w:val="center"/>
        <w:textAlignment w:val="baseline"/>
      </w:pPr>
      <w:r>
        <w:t xml:space="preserve">2024 m.                           d. Nr. 3D-</w:t>
      </w:r>
    </w:p>
    <w:p w14:paraId="2EA7CF8A" w14:textId="77777777">
      <w:pPr>
        <w:framePr w:h="714" w:wrap="auto" w:hAnchor="text"/>
        <w:overflowPunct w:val="0"/>
        <w:spacing w:line="360" w:lineRule="auto"/>
        <w:jc w:val="center"/>
        <w:textAlignment w:val="baseline"/>
      </w:pPr>
      <w:r>
        <w:t>Vilnius</w:t>
      </w:r>
    </w:p>
    <w:p w14:paraId="559E8446" w14:textId="77777777">
      <w:pPr>
        <w:overflowPunct w:val="0"/>
        <w:jc w:val="center"/>
        <w:textAlignment w:val="baseline"/>
      </w:pPr>
    </w:p>
    <w:p w14:paraId="4F43B5AB" w14:textId="5ABEF2E1">
      <w:pPr>
        <w:tabs>
          <w:tab w:val="left" w:pos="1134"/>
        </w:tabs>
        <w:overflowPunct w:val="0"/>
        <w:spacing w:line="360" w:lineRule="auto"/>
        <w:ind w:firstLine="710"/>
        <w:jc w:val="both"/>
        <w:textAlignment w:val="baseline"/>
      </w:pPr>
      <w:r>
        <w:t>1</w:t>
      </w:r>
      <w:r>
        <w:t>.</w:t>
        <w:tab/>
        <w:t>P a k e i č i u Tautinio paveldo veiklos finansavimo taisykles, patvirtintas Lietuvos Respublikos žemės ūkio ministro 2009 m. gegužės 29 d. įsakymu Nr. 3D-398 „Dėl Tautinio paveldo veiklos finansavimo taisyklių patvirtinimo“:</w:t>
      </w:r>
    </w:p>
    <w:p w14:paraId="0C627361" w14:textId="789745B8">
      <w:pPr>
        <w:tabs>
          <w:tab w:val="left" w:pos="1134"/>
        </w:tabs>
        <w:overflowPunct w:val="0"/>
        <w:spacing w:line="360" w:lineRule="auto"/>
        <w:ind w:firstLine="710"/>
        <w:jc w:val="both"/>
        <w:textAlignment w:val="baseline"/>
      </w:pPr>
      <w:r>
        <w:t>1.1</w:t>
      </w:r>
      <w:r>
        <w:t>.</w:t>
        <w:tab/>
        <w:t xml:space="preserve">Pakeičiu </w:t>
      </w:r>
      <w:r>
        <w:rPr>
          <w:szCs w:val="24"/>
        </w:rPr>
        <w:t>8 punktą ir jį išdėstau taip:</w:t>
      </w:r>
    </w:p>
    <w:p w14:paraId="3E87FFB4" w14:textId="7FDA3673">
      <w:pPr>
        <w:widowControl w:val="0"/>
        <w:tabs>
          <w:tab w:val="left" w:pos="1134"/>
        </w:tabs>
        <w:suppressAutoHyphens/>
        <w:overflowPunct w:val="0"/>
        <w:spacing w:line="360" w:lineRule="auto"/>
        <w:ind w:firstLine="709"/>
        <w:jc w:val="both"/>
        <w:textAlignment w:val="baseline"/>
        <w:rPr>
          <w:szCs w:val="24"/>
          <w:lang w:eastAsia="lt-LT"/>
        </w:rPr>
      </w:pPr>
      <w:r>
        <w:rPr>
          <w:color w:val="000000"/>
          <w:szCs w:val="24"/>
          <w:lang w:eastAsia="lt-LT"/>
        </w:rPr>
        <w:t>„</w:t>
      </w:r>
      <w:r>
        <w:rPr>
          <w:color w:val="000000"/>
          <w:szCs w:val="24"/>
          <w:lang w:eastAsia="lt-LT"/>
        </w:rPr>
        <w:t>8</w:t>
      </w:r>
      <w:r>
        <w:rPr>
          <w:color w:val="000000"/>
          <w:szCs w:val="24"/>
          <w:lang w:eastAsia="lt-LT"/>
        </w:rPr>
        <w:t xml:space="preserve">. Pareiškėjas per kvietimą teikti paraiškas gali pateikti tik vieną paraišką Taisyklių       10.2 ir 10.3 papunkčiuose nurodytoms veikloms finansuoti (toliau – Paraiška) (Taisyklių 1 priedas). Pagal Taisykles pagalba neteikiama pareiškėjo edukacinių užsiėmimų organizavimui, įrangos įsigijimui arba dalyvavimui renginiuose, jeigu organizuoti bet kuriuos edukacinius užsiėmimus, įsigyti tos pačios rūšies įrangą arba dalyvauti tuose pačiuose renginiuose skirta pagalba pagal asociacijos arba tradicinių amatų centro, kurio narys yra pareiškėjas, paraišką, teikiamą pagal Tautinio paveldo produktų kūrėjų bendradarbiavimo veiklos finansavimo taisykles, patvirtintas Lietuvos Respublikos žemės ūkio ministro 2023 m. spalio 10 d. įsakymu Nr. 3D-649 „Dėl Tautinio paveldo produktų kūrėjų bendradarbiavimo veiklos finansavimo taisyklių patvirtinimo“, ir pareiškėjas yra šios paraiškos galutinių pagalbos gavėjų sąraše“</w:t>
      </w:r>
      <w:r>
        <w:rPr>
          <w:szCs w:val="24"/>
          <w:lang w:eastAsia="lt-LT"/>
        </w:rPr>
        <w:t>.</w:t>
      </w:r>
    </w:p>
    <w:p w14:paraId="0269679F" w14:textId="7072028C">
      <w:pPr>
        <w:tabs>
          <w:tab w:val="left" w:pos="1134"/>
        </w:tabs>
        <w:overflowPunct w:val="0"/>
        <w:spacing w:line="360" w:lineRule="auto"/>
        <w:ind w:firstLine="709"/>
        <w:jc w:val="both"/>
        <w:textAlignment w:val="baseline"/>
      </w:pPr>
      <w:r>
        <w:t>1.2</w:t>
      </w:r>
      <w:r>
        <w:t>.</w:t>
        <w:tab/>
        <w:t xml:space="preserve">Pakeičiu </w:t>
      </w:r>
      <w:r>
        <w:rPr>
          <w:szCs w:val="24"/>
        </w:rPr>
        <w:t>11.2.5 papunktį ir jį išdėstau taip:</w:t>
      </w:r>
    </w:p>
    <w:p w14:paraId="20B90054" w14:textId="77777777">
      <w:pPr>
        <w:widowControl w:val="0"/>
        <w:suppressAutoHyphens/>
        <w:overflowPunct w:val="0"/>
        <w:spacing w:line="360" w:lineRule="auto"/>
        <w:ind w:firstLine="709"/>
        <w:jc w:val="both"/>
        <w:textAlignment w:val="baseline"/>
        <w:rPr>
          <w:color w:val="000000"/>
          <w:szCs w:val="24"/>
          <w:lang w:eastAsia="lt-LT"/>
        </w:rPr>
      </w:pPr>
      <w:r>
        <w:rPr>
          <w:color w:val="000000"/>
          <w:szCs w:val="24"/>
          <w:lang w:eastAsia="lt-LT"/>
        </w:rPr>
        <w:t>„</w:t>
      </w:r>
      <w:r>
        <w:rPr>
          <w:color w:val="000000"/>
          <w:szCs w:val="24"/>
          <w:lang w:eastAsia="lt-LT"/>
        </w:rPr>
        <w:t>11.2.5</w:t>
      </w:r>
      <w:r>
        <w:rPr>
          <w:color w:val="000000"/>
          <w:szCs w:val="24"/>
          <w:lang w:eastAsia="lt-LT"/>
        </w:rPr>
        <w:t>. įrangos tradiciniams amatams gyvai demonstruoti ir (ar) tautinio paveldo produktams demonstruoti ir (ar) realizuoti mugėse, parodose įsigijimo, įrengimo, nuomos išlaidos (tos pačios rūšies įrangos įsigijimo atveju kompensuojama vieną kartą per 5 metus, įvertinus, ar per šį laikotarpį tos pačios rūšies įranga nebuvo įsigyta pagal Tautinio paveldo produktų kūrėjų bendradarbiavimo veiklos finansavimo taisykles)“.</w:t>
      </w:r>
    </w:p>
    <w:p w14:paraId="744E4785" w14:textId="4EC3E67F">
      <w:pPr>
        <w:widowControl w:val="0"/>
        <w:tabs>
          <w:tab w:val="left" w:pos="1134"/>
        </w:tabs>
        <w:suppressAutoHyphens/>
        <w:overflowPunct w:val="0"/>
        <w:spacing w:line="360" w:lineRule="auto"/>
        <w:ind w:firstLine="709"/>
        <w:jc w:val="both"/>
        <w:textAlignment w:val="baseline"/>
        <w:rPr>
          <w:color w:val="000000"/>
          <w:szCs w:val="24"/>
          <w:lang w:eastAsia="lt-LT"/>
        </w:rPr>
      </w:pPr>
      <w:r>
        <w:rPr>
          <w:color w:val="000000"/>
          <w:szCs w:val="24"/>
          <w:lang w:eastAsia="lt-LT"/>
        </w:rPr>
        <w:t>1.3</w:t>
      </w:r>
      <w:r>
        <w:rPr>
          <w:color w:val="000000"/>
          <w:szCs w:val="24"/>
          <w:lang w:eastAsia="lt-LT"/>
        </w:rPr>
        <w:t>.</w:t>
        <w:tab/>
      </w:r>
      <w:r>
        <w:t xml:space="preserve">Pakeičiu </w:t>
      </w:r>
      <w:r>
        <w:rPr>
          <w:szCs w:val="24"/>
        </w:rPr>
        <w:t>19.2.1 papunktį ir jį išdėstau taip:</w:t>
      </w:r>
    </w:p>
    <w:p w14:paraId="7A1AA236" w14:textId="4B48B98E">
      <w:pPr>
        <w:widowControl w:val="0"/>
        <w:suppressAutoHyphens/>
        <w:overflowPunct w:val="0"/>
        <w:spacing w:line="360" w:lineRule="auto"/>
        <w:ind w:firstLine="709"/>
        <w:jc w:val="both"/>
        <w:textAlignment w:val="baseline"/>
        <w:rPr>
          <w:color w:val="000000"/>
          <w:szCs w:val="24"/>
          <w:lang w:eastAsia="lt-LT"/>
        </w:rPr>
      </w:pPr>
      <w:r>
        <w:rPr>
          <w:color w:val="000000"/>
          <w:szCs w:val="24"/>
          <w:lang w:eastAsia="lt-LT"/>
        </w:rPr>
        <w:t>„</w:t>
      </w:r>
      <w:r>
        <w:rPr>
          <w:color w:val="000000"/>
          <w:szCs w:val="24"/>
          <w:lang w:eastAsia="lt-LT"/>
        </w:rPr>
        <w:t>19.2.1</w:t>
      </w:r>
      <w:r>
        <w:rPr>
          <w:color w:val="000000"/>
          <w:szCs w:val="24"/>
          <w:lang w:eastAsia="lt-LT"/>
        </w:rPr>
        <w:t xml:space="preserve">. pagalbos gavėjas, planuojantis edukacinį užsiėmimą, ne vėliau kaip prieš 15 darbo dienų iki jo pradžios praneša apie jį (pateikia parengtą skelbimą) Žemės ūkio agentūrai prie Lietuvos Respublikos žemės ūkio ministerijos (toliau – Žemės ūkio agentūra) el. paštu, nurodytu interneto svetainėje </w:t>
      </w:r>
      <w:r>
        <w:rPr>
          <w:color w:val="0000FF"/>
          <w:szCs w:val="24"/>
          <w:u w:val="single"/>
          <w:lang w:eastAsia="lt-LT"/>
        </w:rPr>
        <w:t>https://www.tautinispaveldas.lt/kontaktai/</w:t>
      </w:r>
      <w:r>
        <w:rPr>
          <w:color w:val="000000"/>
          <w:szCs w:val="24"/>
          <w:lang w:eastAsia="lt-LT"/>
        </w:rPr>
        <w:t xml:space="preserve">. Skelbimo tekste (Word formatu) nurodomas tradicinių amatų meistras, edukacinio užsiėmimo tema, data, laikas, trukmė ir vieta, kontaktai registracijai bei pridedama tautinio paveldo produkto, kurio gamybos bus mokoma edukacinio užsiėmimo metu, horizontalaus formato nuotrauka (-os) ir (ar) plakatas. Žemės ūkio agentūra skelbimą apie planuojamą edukacinį užsiėmimą paskelbia interneto svetainėje </w:t>
      </w:r>
      <w:r>
        <w:rPr>
          <w:color w:val="000000"/>
          <w:szCs w:val="24"/>
          <w:u w:val="single"/>
          <w:lang w:eastAsia="lt-LT"/>
        </w:rPr>
        <w:t xml:space="preserve">https://www.tautinispaveldas.lt </w:t>
      </w:r>
      <w:r>
        <w:rPr>
          <w:color w:val="000000"/>
          <w:szCs w:val="24"/>
          <w:lang w:eastAsia="lt-LT"/>
        </w:rPr>
        <w:t>ne vėliau kaip prieš 10 darbo dienų iki jo pradžios;“.</w:t>
      </w:r>
    </w:p>
    <w:p w14:paraId="6ACDFD35" w14:textId="77777777">
      <w:pPr>
        <w:widowControl w:val="0"/>
        <w:tabs>
          <w:tab w:val="left" w:pos="1134"/>
        </w:tabs>
        <w:suppressAutoHyphens/>
        <w:overflowPunct w:val="0"/>
        <w:spacing w:line="360" w:lineRule="auto"/>
        <w:ind w:left="709"/>
        <w:jc w:val="both"/>
        <w:textAlignment w:val="baseline"/>
        <w:rPr>
          <w:color w:val="000000"/>
          <w:szCs w:val="24"/>
          <w:lang w:eastAsia="lt-LT"/>
        </w:rPr>
      </w:pPr>
      <w:r>
        <w:rPr>
          <w:color w:val="000000"/>
          <w:szCs w:val="24"/>
          <w:lang w:eastAsia="lt-LT"/>
        </w:rPr>
        <w:t>1.4</w:t>
      </w:r>
      <w:r>
        <w:rPr>
          <w:color w:val="000000"/>
          <w:szCs w:val="24"/>
          <w:lang w:eastAsia="lt-LT"/>
        </w:rPr>
        <w:t xml:space="preserve">. </w:t>
      </w:r>
      <w:r>
        <w:t xml:space="preserve">Pakeičiu </w:t>
      </w:r>
      <w:r>
        <w:rPr>
          <w:szCs w:val="24"/>
        </w:rPr>
        <w:t>19.2.4 papunktį ir jį išdėstau taip:</w:t>
      </w:r>
    </w:p>
    <w:p w14:paraId="7B77C360" w14:textId="77777777">
      <w:pPr>
        <w:widowControl w:val="0"/>
        <w:suppressAutoHyphens/>
        <w:overflowPunct w:val="0"/>
        <w:spacing w:line="360" w:lineRule="auto"/>
        <w:ind w:firstLine="720"/>
        <w:jc w:val="both"/>
        <w:textAlignment w:val="baseline"/>
        <w:rPr>
          <w:color w:val="000000"/>
          <w:szCs w:val="24"/>
          <w:lang w:eastAsia="lt-LT"/>
        </w:rPr>
      </w:pPr>
      <w:r>
        <w:rPr>
          <w:color w:val="000000"/>
          <w:szCs w:val="24"/>
          <w:lang w:eastAsia="lt-LT"/>
        </w:rPr>
        <w:t>„</w:t>
      </w:r>
      <w:r>
        <w:rPr>
          <w:color w:val="000000"/>
          <w:szCs w:val="24"/>
          <w:lang w:eastAsia="lt-LT"/>
        </w:rPr>
        <w:t>19.2.4</w:t>
      </w:r>
      <w:r>
        <w:rPr>
          <w:color w:val="000000"/>
          <w:szCs w:val="24"/>
          <w:lang w:eastAsia="lt-LT"/>
        </w:rPr>
        <w:t>. užsiėmimas yra grupinis, jo dalyvių skaičius ne mažesnis kaip 10;“.</w:t>
      </w:r>
    </w:p>
    <w:p w14:paraId="3C8F3415" w14:textId="77777777">
      <w:pPr>
        <w:overflowPunct w:val="0"/>
        <w:spacing w:line="360" w:lineRule="auto"/>
        <w:ind w:firstLine="709"/>
        <w:jc w:val="both"/>
        <w:textAlignment w:val="baseline"/>
        <w:rPr>
          <w:color w:val="000000"/>
          <w:szCs w:val="24"/>
          <w:lang w:eastAsia="lt-LT"/>
        </w:rPr>
      </w:pPr>
      <w:r>
        <w:rPr>
          <w:color w:val="000000"/>
          <w:szCs w:val="24"/>
          <w:lang w:eastAsia="lt-LT"/>
        </w:rPr>
        <w:t>1.5</w:t>
      </w:r>
      <w:r>
        <w:rPr>
          <w:color w:val="000000"/>
          <w:szCs w:val="24"/>
          <w:lang w:eastAsia="lt-LT"/>
        </w:rPr>
        <w:t xml:space="preserve">. </w:t>
      </w:r>
      <w:r>
        <w:t xml:space="preserve">Pakeičiu </w:t>
      </w:r>
      <w:r>
        <w:rPr>
          <w:szCs w:val="24"/>
        </w:rPr>
        <w:t>21 punktą ir jį išdėstau taip:</w:t>
      </w:r>
    </w:p>
    <w:p w14:paraId="5CCDED5B" w14:textId="28F53E2F">
      <w:pPr>
        <w:overflowPunct w:val="0"/>
        <w:spacing w:line="360" w:lineRule="auto"/>
        <w:ind w:firstLine="709"/>
        <w:jc w:val="both"/>
        <w:textAlignment w:val="baseline"/>
        <w:rPr>
          <w:color w:val="000000"/>
          <w:szCs w:val="24"/>
          <w:lang w:eastAsia="lt-LT"/>
        </w:rPr>
      </w:pPr>
      <w:r>
        <w:rPr>
          <w:color w:val="000000"/>
          <w:szCs w:val="24"/>
          <w:lang w:eastAsia="lt-LT"/>
        </w:rPr>
        <w:t>„</w:t>
      </w:r>
      <w:r>
        <w:rPr>
          <w:color w:val="000000"/>
          <w:szCs w:val="24"/>
          <w:lang w:eastAsia="lt-LT"/>
        </w:rPr>
        <w:t>21</w:t>
      </w:r>
      <w:r>
        <w:rPr>
          <w:color w:val="000000"/>
          <w:szCs w:val="24"/>
          <w:lang w:eastAsia="lt-LT"/>
        </w:rPr>
        <w:t>. Prašymai dėl A kategorijos tautinio paveldo produkto sertifikavimo išlaidų kompensavimo (toliau – prašymas) (Taisyklių 2 priedas) gali būti teikiami Žemės ūkio ministerijai (toliau – Ministerija) raštu visus metus, bet ne vėliau kaip 6 mėnesiai nuo sertifikato užregistravimo dienos.“</w:t>
      </w:r>
    </w:p>
    <w:p w14:paraId="6317B331" w14:textId="77777777">
      <w:pPr>
        <w:overflowPunct w:val="0"/>
        <w:spacing w:line="360" w:lineRule="auto"/>
        <w:ind w:firstLine="709"/>
        <w:jc w:val="both"/>
        <w:textAlignment w:val="baseline"/>
        <w:rPr>
          <w:color w:val="000000"/>
          <w:szCs w:val="24"/>
          <w:lang w:eastAsia="lt-LT"/>
        </w:rPr>
      </w:pPr>
      <w:r>
        <w:rPr>
          <w:color w:val="000000"/>
          <w:szCs w:val="24"/>
          <w:lang w:eastAsia="lt-LT"/>
        </w:rPr>
        <w:t>1.6</w:t>
      </w:r>
      <w:r>
        <w:rPr>
          <w:color w:val="000000"/>
          <w:szCs w:val="24"/>
          <w:lang w:eastAsia="lt-LT"/>
        </w:rPr>
        <w:t xml:space="preserve">. </w:t>
      </w:r>
      <w:r>
        <w:t xml:space="preserve">Pakeičiu </w:t>
      </w:r>
      <w:r>
        <w:rPr>
          <w:szCs w:val="24"/>
        </w:rPr>
        <w:t>22 punktą ir jį išdėstau taip:</w:t>
      </w:r>
    </w:p>
    <w:p w14:paraId="1F4257AA" w14:textId="635F4E70">
      <w:pPr>
        <w:widowControl w:val="0"/>
        <w:suppressAutoHyphens/>
        <w:overflowPunct w:val="0"/>
        <w:spacing w:line="360" w:lineRule="auto"/>
        <w:ind w:firstLine="709"/>
        <w:jc w:val="both"/>
        <w:textAlignment w:val="baseline"/>
        <w:rPr>
          <w:color w:val="000000"/>
          <w:szCs w:val="24"/>
          <w:lang w:eastAsia="lt-LT"/>
        </w:rPr>
      </w:pPr>
      <w:r>
        <w:rPr>
          <w:color w:val="000000"/>
          <w:szCs w:val="24"/>
          <w:lang w:eastAsia="lt-LT"/>
        </w:rPr>
        <w:t>„</w:t>
      </w:r>
      <w:r>
        <w:rPr>
          <w:color w:val="000000"/>
          <w:szCs w:val="24"/>
          <w:lang w:eastAsia="lt-LT"/>
        </w:rPr>
        <w:t>22</w:t>
      </w:r>
      <w:r>
        <w:rPr>
          <w:color w:val="000000"/>
          <w:szCs w:val="24"/>
          <w:lang w:eastAsia="lt-LT"/>
        </w:rPr>
        <w:t>. Ministerijos atsakingas padalinys (toliau – Sekretoriatas) gautus prašymus vertina du kartus per metus. Prašymai, gauti iki einamųjų metų birželio 30 d., įvertinami iki liepos 15 d., o prašymai, gauti po einamųjų metų birželio 30 d., – iki kitų metų sausio 15 d.“</w:t>
      </w:r>
    </w:p>
    <w:p w14:paraId="4F29C7B5" w14:textId="77777777">
      <w:pPr>
        <w:overflowPunct w:val="0"/>
        <w:spacing w:line="360" w:lineRule="auto"/>
        <w:ind w:firstLine="709"/>
        <w:jc w:val="both"/>
        <w:textAlignment w:val="baseline"/>
        <w:rPr>
          <w:color w:val="000000"/>
          <w:szCs w:val="24"/>
          <w:lang w:eastAsia="lt-LT"/>
        </w:rPr>
      </w:pPr>
      <w:r>
        <w:rPr>
          <w:color w:val="000000"/>
          <w:szCs w:val="24"/>
          <w:lang w:eastAsia="lt-LT"/>
        </w:rPr>
        <w:t>1.7</w:t>
      </w:r>
      <w:r>
        <w:rPr>
          <w:color w:val="000000"/>
          <w:szCs w:val="24"/>
          <w:lang w:eastAsia="lt-LT"/>
        </w:rPr>
        <w:t xml:space="preserve">. </w:t>
      </w:r>
      <w:r>
        <w:t xml:space="preserve">Pakeičiu </w:t>
      </w:r>
      <w:r>
        <w:rPr>
          <w:szCs w:val="24"/>
        </w:rPr>
        <w:t>28.3 papunktį ir jį išdėstau taip:</w:t>
      </w:r>
    </w:p>
    <w:p w14:paraId="10DF5861" w14:textId="73BF1225">
      <w:pPr>
        <w:widowControl w:val="0"/>
        <w:suppressAutoHyphens/>
        <w:overflowPunct w:val="0"/>
        <w:spacing w:line="360" w:lineRule="auto"/>
        <w:ind w:firstLine="709"/>
        <w:jc w:val="both"/>
        <w:textAlignment w:val="baseline"/>
        <w:rPr>
          <w:color w:val="000000"/>
          <w:szCs w:val="24"/>
          <w:lang w:eastAsia="lt-LT"/>
        </w:rPr>
      </w:pPr>
      <w:r>
        <w:rPr>
          <w:color w:val="000000"/>
          <w:szCs w:val="24"/>
          <w:lang w:eastAsia="lt-LT"/>
        </w:rPr>
        <w:t>„</w:t>
      </w:r>
      <w:r>
        <w:rPr>
          <w:color w:val="000000"/>
          <w:szCs w:val="24"/>
          <w:lang w:eastAsia="lt-LT"/>
        </w:rPr>
        <w:t>28.3</w:t>
      </w:r>
      <w:r>
        <w:rPr>
          <w:color w:val="000000"/>
          <w:szCs w:val="24"/>
          <w:lang w:eastAsia="lt-LT"/>
        </w:rPr>
        <w:t>. komercinis (-iai) pasiūlymas (-ai) ir (arba) viešai prekių ar paslaugų teikėjų, kuriems tai yra įprastinė komercinė veikla, pateikta atspausdinta informacija, jei išlaidos dar neatliktos, ir (arba) pirkimo / apmokėjimo dokumentų kopijos, jei išlaidos jau atliktos.“</w:t>
      </w:r>
    </w:p>
    <w:p w14:paraId="634E2ABF" w14:textId="77777777">
      <w:pPr>
        <w:overflowPunct w:val="0"/>
        <w:spacing w:line="360" w:lineRule="auto"/>
        <w:ind w:firstLine="709"/>
        <w:jc w:val="both"/>
        <w:textAlignment w:val="baseline"/>
        <w:rPr>
          <w:color w:val="000000"/>
          <w:szCs w:val="24"/>
          <w:lang w:eastAsia="lt-LT"/>
        </w:rPr>
      </w:pPr>
      <w:r>
        <w:rPr>
          <w:color w:val="000000"/>
          <w:szCs w:val="24"/>
          <w:lang w:eastAsia="lt-LT"/>
        </w:rPr>
        <w:t>1.8</w:t>
      </w:r>
      <w:r>
        <w:rPr>
          <w:color w:val="000000"/>
          <w:szCs w:val="24"/>
          <w:lang w:eastAsia="lt-LT"/>
        </w:rPr>
        <w:t xml:space="preserve">. </w:t>
      </w:r>
      <w:r>
        <w:t xml:space="preserve">Pakeičiu </w:t>
      </w:r>
      <w:r>
        <w:rPr>
          <w:szCs w:val="24"/>
        </w:rPr>
        <w:t>47 punktą ir jį išdėstau taip:</w:t>
      </w:r>
    </w:p>
    <w:p w14:paraId="48CAD35A" w14:textId="3E9AE447">
      <w:pPr>
        <w:widowControl w:val="0"/>
        <w:suppressAutoHyphens/>
        <w:overflowPunct w:val="0"/>
        <w:spacing w:line="360" w:lineRule="auto"/>
        <w:ind w:firstLine="709"/>
        <w:jc w:val="both"/>
        <w:textAlignment w:val="baseline"/>
        <w:rPr>
          <w:color w:val="000000"/>
          <w:szCs w:val="24"/>
          <w:lang w:eastAsia="lt-LT"/>
        </w:rPr>
      </w:pPr>
      <w:r>
        <w:rPr>
          <w:color w:val="000000"/>
          <w:szCs w:val="24"/>
          <w:lang w:eastAsia="lt-LT"/>
        </w:rPr>
        <w:t>„</w:t>
      </w:r>
      <w:r>
        <w:rPr>
          <w:szCs w:val="24"/>
          <w:lang w:eastAsia="lt-LT"/>
        </w:rPr>
        <w:t>47</w:t>
      </w:r>
      <w:r>
        <w:rPr>
          <w:szCs w:val="24"/>
          <w:lang w:eastAsia="lt-LT"/>
        </w:rPr>
        <w:t xml:space="preserve">. Įgyvendinant projektą, jokie su Agentūra nesuderinti nukrypimai nuo Paraiškoje planuoto projekto įgyvendinimo nėra leidžiami. Jei po Agentūros sprendimo skirti pagalbą patvirtinimo dėl nenumatytų aplinkybių keičiasi parodos, mugės ar kito viešo renginio, kuriame buvo planuojama dalyvauti ir kuriam buvo skirta pagalba, data (daugiau kai 2 dienom), vieta arba norima dalyvauti kitoje parodoje, mugėje ar kitame viešajame renginyje, </w:t>
      </w:r>
      <w:r>
        <w:rPr>
          <w:color w:val="000000"/>
          <w:szCs w:val="24"/>
          <w:lang w:eastAsia="lt-LT"/>
        </w:rPr>
        <w:t xml:space="preserve">pagalbos gavėjas </w:t>
      </w:r>
      <w:r>
        <w:rPr>
          <w:szCs w:val="24"/>
          <w:lang w:eastAsia="lt-LT"/>
        </w:rPr>
        <w:t xml:space="preserve">ne daugiau kaip 2 kartus per metus gali kreiptis į Agentūrą el. paštu </w:t>
      </w:r>
      <w:r>
        <w:rPr>
          <w:color w:val="0000FF"/>
          <w:szCs w:val="24"/>
          <w:u w:val="single"/>
        </w:rPr>
        <w:t>dokumentai@nma.lt</w:t>
      </w:r>
      <w:r>
        <w:rPr>
          <w:szCs w:val="24"/>
        </w:rPr>
        <w:t xml:space="preserve"> </w:t>
      </w:r>
      <w:r>
        <w:rPr>
          <w:szCs w:val="24"/>
          <w:lang w:eastAsia="lt-LT"/>
        </w:rPr>
        <w:t xml:space="preserve">su prašymu patikslinti duomenis apie parodą, mugę, kitą viešą renginį, kuriame planuojama dalyvauti, kartu nurodydamas šio patikslinimo priežastis bei pateikdamas patikslintą Paraišką PDF formatu. </w:t>
      </w:r>
      <w:r>
        <w:t xml:space="preserve">Jei Paraiška keičiama daugiau negu du kartus per metus, tuomet turi būti </w:t>
      </w:r>
      <w:r>
        <w:rPr>
          <w:szCs w:val="24"/>
          <w:lang w:eastAsia="lt-LT"/>
        </w:rPr>
        <w:t>dokumentais</w:t>
      </w:r>
      <w:r>
        <w:t xml:space="preserve"> (</w:t>
      </w:r>
      <w:r>
        <w:rPr>
          <w:szCs w:val="24"/>
          <w:lang w:eastAsia="lt-LT"/>
        </w:rPr>
        <w:t>pvz., gydymo ar kitos įstaigos pažyma)</w:t>
      </w:r>
      <w:r>
        <w:t xml:space="preserve"> įrodytos pateisinamos priežastys, nepriklausiusios nuo </w:t>
      </w:r>
      <w:r>
        <w:rPr>
          <w:color w:val="000000"/>
          <w:szCs w:val="24"/>
          <w:lang w:eastAsia="lt-LT"/>
        </w:rPr>
        <w:t xml:space="preserve">pagalbos gavėjo </w:t>
      </w:r>
      <w:r>
        <w:t>valios (</w:t>
      </w:r>
      <w:r>
        <w:rPr>
          <w:szCs w:val="24"/>
          <w:lang w:eastAsia="lt-LT"/>
        </w:rPr>
        <w:t xml:space="preserve">pvz., nenugalimos jėgos </w:t>
      </w:r>
      <w:r>
        <w:rPr>
          <w:i/>
          <w:szCs w:val="24"/>
          <w:lang w:eastAsia="lt-LT"/>
        </w:rPr>
        <w:t>(force majeure),</w:t>
      </w:r>
      <w:r>
        <w:rPr>
          <w:color w:val="000000"/>
          <w:szCs w:val="24"/>
          <w:lang w:eastAsia="lt-LT"/>
        </w:rPr>
        <w:t xml:space="preserve"> pagalbos gavėjo </w:t>
      </w:r>
      <w:r>
        <w:rPr>
          <w:szCs w:val="24"/>
          <w:lang w:eastAsia="lt-LT"/>
        </w:rPr>
        <w:t>ar kito, atsakingo už dokumentų pateikimą, asmens liga)</w:t>
      </w:r>
      <w:r>
        <w:t xml:space="preserve">. </w:t>
      </w:r>
      <w:r>
        <w:rPr>
          <w:szCs w:val="24"/>
          <w:lang w:eastAsia="lt-LT"/>
        </w:rPr>
        <w:t>Patikslintoje Paraiškoje pagalbos suma (ir bendra projekto, ir atskiro renginio) negali būti didesnė, nei buvo pirminėje Paraiškoje,</w:t>
      </w:r>
      <w:r>
        <w:rPr>
          <w:rFonts w:ascii="Segoe UI" w:hAnsi="Segoe UI" w:cs="Segoe UI"/>
          <w:i/>
          <w:iCs/>
          <w:sz w:val="18"/>
          <w:szCs w:val="18"/>
        </w:rPr>
        <w:t xml:space="preserve"> </w:t>
      </w:r>
      <w:r>
        <w:rPr>
          <w:szCs w:val="24"/>
          <w:lang w:eastAsia="lt-LT"/>
        </w:rPr>
        <w:t xml:space="preserve">išlaidų rūšys negali būti tikslinamos. Neįvykusios parodos, mugės ir (ar) kito viešojo renginio keitimas kitu renginiu, kuris jau buvo įvykęs anksčiau už neįvykusį, nėra leidžiamas. Prašymas dėl Paraiškos keitimo negali būti teikiamas likus mažiau negu 5 d. d. iki planuojamo renginio pradžios ir likus mažiau negu 5 d. d. iki mokėjimo prašymo teikimo termino pabaigos. Atsakymą dėl Paraiškos keitimo Agentūra </w:t>
      </w:r>
      <w:r>
        <w:rPr>
          <w:color w:val="000000"/>
          <w:szCs w:val="24"/>
          <w:lang w:eastAsia="lt-LT"/>
        </w:rPr>
        <w:t>išsiunčia pagalbos gavėjui el. paštu.“</w:t>
      </w:r>
    </w:p>
    <w:p w14:paraId="281B081A" w14:textId="77777777">
      <w:pPr>
        <w:widowControl w:val="0"/>
        <w:suppressAutoHyphens/>
        <w:overflowPunct w:val="0"/>
        <w:spacing w:line="360" w:lineRule="auto"/>
        <w:ind w:firstLine="720"/>
        <w:jc w:val="both"/>
        <w:textAlignment w:val="baseline"/>
        <w:rPr>
          <w:color w:val="000000"/>
          <w:szCs w:val="24"/>
          <w:lang w:eastAsia="lt-LT"/>
        </w:rPr>
      </w:pPr>
      <w:r>
        <w:rPr>
          <w:color w:val="000000"/>
          <w:szCs w:val="24"/>
          <w:lang w:eastAsia="lt-LT"/>
        </w:rPr>
        <w:t>1.9</w:t>
      </w:r>
      <w:r>
        <w:rPr>
          <w:color w:val="000000"/>
          <w:szCs w:val="24"/>
          <w:lang w:eastAsia="lt-LT"/>
        </w:rPr>
        <w:t xml:space="preserve">. </w:t>
      </w:r>
      <w:r>
        <w:t xml:space="preserve">Pakeičiu </w:t>
      </w:r>
      <w:r>
        <w:rPr>
          <w:szCs w:val="24"/>
        </w:rPr>
        <w:t>50.2 papunktį ir jį išdėstau taip:</w:t>
      </w:r>
    </w:p>
    <w:p w14:paraId="30129035" w14:textId="04281520">
      <w:pPr>
        <w:widowControl w:val="0"/>
        <w:suppressAutoHyphens/>
        <w:overflowPunct w:val="0"/>
        <w:spacing w:line="360" w:lineRule="auto"/>
        <w:ind w:firstLine="720"/>
        <w:jc w:val="both"/>
        <w:textAlignment w:val="baseline"/>
        <w:rPr>
          <w:color w:val="000000"/>
          <w:szCs w:val="24"/>
          <w:lang w:eastAsia="lt-LT"/>
        </w:rPr>
      </w:pPr>
      <w:r>
        <w:rPr>
          <w:color w:val="000000"/>
          <w:szCs w:val="24"/>
          <w:lang w:eastAsia="lt-LT"/>
        </w:rPr>
        <w:t>„</w:t>
      </w:r>
      <w:r>
        <w:rPr>
          <w:color w:val="000000"/>
          <w:szCs w:val="24"/>
          <w:lang w:eastAsia="lt-LT"/>
        </w:rPr>
        <w:t>50.2</w:t>
      </w:r>
      <w:r>
        <w:rPr>
          <w:color w:val="000000"/>
          <w:szCs w:val="24"/>
          <w:lang w:eastAsia="lt-LT"/>
        </w:rPr>
        <w:t xml:space="preserve">. jei buvo organizuojami tradicinių amatų edukaciniai užsiėmimai, pateikiami kiekvieno edukacinio užsiėmimo dalyvių pasirašyti sąrašai arba patvirtintos jų kopijos (nurodomas užsiėmimas, data, trukmė, dalyvių vardas, pavardė, telefonas) ir atspausdinta informacija, kad apie nemokamus edukacinius užsiėmimus prieš 10 darbo dienų iki jų pradžios buvo paskelbta interneto svetainėje </w:t>
      </w:r>
      <w:r>
        <w:rPr>
          <w:color w:val="0000FF"/>
          <w:szCs w:val="24"/>
          <w:u w:val="single"/>
          <w:lang w:eastAsia="lt-LT"/>
        </w:rPr>
        <w:t>https://www.tautinispaveldas.lt</w:t>
      </w:r>
      <w:r>
        <w:rPr>
          <w:color w:val="000000"/>
          <w:szCs w:val="24"/>
          <w:lang w:eastAsia="lt-LT"/>
        </w:rPr>
        <w:t>;“.</w:t>
      </w:r>
    </w:p>
    <w:p w14:paraId="53331506" w14:textId="77777777">
      <w:pPr>
        <w:widowControl w:val="0"/>
        <w:suppressAutoHyphens/>
        <w:overflowPunct w:val="0"/>
        <w:spacing w:line="360" w:lineRule="auto"/>
        <w:ind w:firstLine="720"/>
        <w:jc w:val="both"/>
        <w:textAlignment w:val="baseline"/>
        <w:rPr>
          <w:color w:val="000000"/>
          <w:szCs w:val="24"/>
          <w:lang w:eastAsia="lt-LT"/>
        </w:rPr>
      </w:pPr>
      <w:r>
        <w:rPr>
          <w:color w:val="000000"/>
          <w:szCs w:val="24"/>
          <w:lang w:eastAsia="lt-LT"/>
        </w:rPr>
        <w:t>1.10</w:t>
      </w:r>
      <w:r>
        <w:rPr>
          <w:color w:val="000000"/>
          <w:szCs w:val="24"/>
          <w:lang w:eastAsia="lt-LT"/>
        </w:rPr>
        <w:t xml:space="preserve">. </w:t>
      </w:r>
      <w:r>
        <w:t xml:space="preserve">Pakeičiu </w:t>
      </w:r>
      <w:r>
        <w:rPr>
          <w:szCs w:val="24"/>
        </w:rPr>
        <w:t>50.5 papunktį ir jį išdėstau taip:</w:t>
      </w:r>
    </w:p>
    <w:p w14:paraId="69BA63DD" w14:textId="6E90089B">
      <w:pPr>
        <w:widowControl w:val="0"/>
        <w:suppressAutoHyphens/>
        <w:overflowPunct w:val="0"/>
        <w:spacing w:line="360" w:lineRule="auto"/>
        <w:ind w:firstLine="720"/>
        <w:jc w:val="both"/>
        <w:textAlignment w:val="baseline"/>
        <w:rPr>
          <w:color w:val="000000"/>
          <w:szCs w:val="24"/>
          <w:lang w:eastAsia="lt-LT"/>
        </w:rPr>
      </w:pPr>
      <w:r>
        <w:rPr>
          <w:color w:val="000000"/>
          <w:szCs w:val="24"/>
          <w:lang w:eastAsia="lt-LT"/>
        </w:rPr>
        <w:t>50.5</w:t>
      </w:r>
      <w:r>
        <w:rPr>
          <w:color w:val="000000"/>
          <w:szCs w:val="24"/>
          <w:lang w:eastAsia="lt-LT"/>
        </w:rPr>
        <w:t>. visų patirtas išlaidas pagrindžiančių ir jų apmokėjimą įrodančių dokumentų (dalyvavimo renginyje, nakvynės, kelionės bilietų, parkavimo kvitų, įrangos įsigijimo, ženklinimo ir kitų išlaidų sąskaitų, apmokėjimo kvitų, bankinių pavedimų) kopijos. Jeigu patirtas išlaidas pagrindžiantys ir jų apmokėjimą įrodantys dokumentai jau buvo pateikti paraiškos teikimo metu, pakartotinai su mokėjimo prašymu jų teikti nereikia.“</w:t>
      </w:r>
    </w:p>
    <w:p w14:paraId="2E960993" w14:textId="77777777">
      <w:pPr>
        <w:overflowPunct w:val="0"/>
        <w:spacing w:line="360" w:lineRule="auto"/>
        <w:ind w:firstLine="709"/>
        <w:jc w:val="both"/>
        <w:textAlignment w:val="baseline"/>
        <w:rPr>
          <w:color w:val="000000"/>
          <w:szCs w:val="24"/>
          <w:lang w:eastAsia="lt-LT"/>
        </w:rPr>
      </w:pPr>
      <w:r>
        <w:rPr>
          <w:color w:val="000000"/>
          <w:szCs w:val="24"/>
          <w:lang w:eastAsia="lt-LT"/>
        </w:rPr>
        <w:t>1.11</w:t>
      </w:r>
      <w:r>
        <w:rPr>
          <w:color w:val="000000"/>
          <w:szCs w:val="24"/>
          <w:lang w:eastAsia="lt-LT"/>
        </w:rPr>
        <w:t xml:space="preserve">. </w:t>
      </w:r>
      <w:r>
        <w:t xml:space="preserve">Pakeičiu </w:t>
      </w:r>
      <w:r>
        <w:rPr>
          <w:szCs w:val="24"/>
        </w:rPr>
        <w:t>58 punktą ir jį išdėstau taip:</w:t>
      </w:r>
    </w:p>
    <w:p w14:paraId="4CFA22A5" w14:textId="3A3E90F9">
      <w:pPr>
        <w:widowControl w:val="0"/>
        <w:suppressAutoHyphens/>
        <w:overflowPunct w:val="0"/>
        <w:spacing w:line="360" w:lineRule="auto"/>
        <w:ind w:firstLine="720"/>
        <w:jc w:val="both"/>
        <w:textAlignment w:val="baseline"/>
        <w:rPr>
          <w:color w:val="000000"/>
          <w:szCs w:val="24"/>
          <w:lang w:eastAsia="lt-LT"/>
        </w:rPr>
      </w:pPr>
      <w:r>
        <w:rPr>
          <w:color w:val="000000"/>
          <w:szCs w:val="24"/>
          <w:lang w:eastAsia="lt-LT"/>
        </w:rPr>
        <w:t>„</w:t>
      </w:r>
      <w:r>
        <w:rPr>
          <w:color w:val="000000"/>
          <w:szCs w:val="24"/>
          <w:lang w:eastAsia="lt-LT"/>
        </w:rPr>
        <w:t>58</w:t>
      </w:r>
      <w:r>
        <w:rPr>
          <w:color w:val="000000"/>
          <w:szCs w:val="24"/>
          <w:lang w:eastAsia="lt-LT"/>
        </w:rPr>
        <w:t xml:space="preserve">. Jei Agentūra nustato, kad </w:t>
      </w:r>
      <w:r>
        <w:rPr>
          <w:szCs w:val="24"/>
          <w:lang w:eastAsia="lt-LT"/>
        </w:rPr>
        <w:t xml:space="preserve">mokėjimo prašymo </w:t>
      </w:r>
      <w:r>
        <w:rPr>
          <w:color w:val="000000"/>
          <w:szCs w:val="24"/>
          <w:lang w:eastAsia="lt-LT"/>
        </w:rPr>
        <w:t xml:space="preserve">pateikimo metu pagalbos gavėjas nebeatitinka pirmumo kriterijų, už kuriuos paraiškų vertinimo metu buvo skirtas pirmumas (jei priimant sprendimą buvo taikyti pirmumo kriterijai), ir (arba) atrankos balų suma yra mažesnė nei buvo skirta paraiškos vertinimo metu, ir paraiškai su tokia atrankos balų suma finansavimas nebūtų skirtas, arba </w:t>
      </w:r>
      <w:r>
        <w:rPr>
          <w:szCs w:val="24"/>
          <w:lang w:eastAsia="lt-LT"/>
        </w:rPr>
        <w:t>pažeidžiama Taisyklių 9 punkto nuostata</w:t>
      </w:r>
      <w:r>
        <w:rPr>
          <w:color w:val="000000"/>
          <w:szCs w:val="24"/>
          <w:lang w:eastAsia="lt-LT"/>
        </w:rPr>
        <w:t xml:space="preserve">, pagalbos gavėjas privalo grąžinti išmokėto avanso dalį ir jam neišmokama likusi pagalbos dalis. </w:t>
      </w:r>
      <w:r>
        <w:t xml:space="preserve">Ši nuostata netaikoma, jei </w:t>
      </w:r>
      <w:r>
        <w:rPr>
          <w:color w:val="000000"/>
          <w:szCs w:val="24"/>
          <w:lang w:eastAsia="lt-LT"/>
        </w:rPr>
        <w:t xml:space="preserve">pagalbos gavėjas </w:t>
      </w:r>
      <w:r>
        <w:t xml:space="preserve">įrodo pateisinamas priežastis, nepriklausiusias nuo jo valios (kaip tai apibrėžta Taisyklių 47 punkte), dėl kurių jis negalėjo dalyvauti Paraiškoje nurodytame renginyje, – tokiu atveju </w:t>
      </w:r>
      <w:r>
        <w:rPr>
          <w:color w:val="000000"/>
          <w:szCs w:val="24"/>
          <w:lang w:eastAsia="lt-LT"/>
        </w:rPr>
        <w:t xml:space="preserve">pagalbos gavėjui </w:t>
      </w:r>
      <w:r>
        <w:t>neišmokama pagalbos suma už dalyvavimą tame renginyje.</w:t>
      </w:r>
      <w:r>
        <w:rPr>
          <w:color w:val="000000"/>
          <w:szCs w:val="24"/>
          <w:lang w:eastAsia="lt-LT"/>
        </w:rPr>
        <w:t>“</w:t>
      </w:r>
    </w:p>
    <w:p w14:paraId="1BF7CE52" w14:textId="623C2FD8">
      <w:pPr>
        <w:widowControl w:val="0"/>
        <w:suppressAutoHyphens/>
        <w:overflowPunct w:val="0"/>
        <w:spacing w:line="360" w:lineRule="auto"/>
        <w:ind w:firstLine="720"/>
        <w:jc w:val="both"/>
        <w:textAlignment w:val="baseline"/>
        <w:rPr>
          <w:szCs w:val="24"/>
        </w:rPr>
      </w:pPr>
      <w:r>
        <w:t>1.12</w:t>
      </w:r>
      <w:r>
        <w:t xml:space="preserve">. Papildau </w:t>
      </w:r>
      <w:r>
        <w:rPr>
          <w:szCs w:val="24"/>
        </w:rPr>
        <w:t>58</w:t>
      </w:r>
      <w:r>
        <w:rPr>
          <w:vertAlign w:val="superscript"/>
        </w:rPr>
        <w:t>1</w:t>
      </w:r>
      <w:r>
        <w:rPr>
          <w:szCs w:val="24"/>
        </w:rPr>
        <w:t xml:space="preserve"> punktu ir jį išdėstau taip:</w:t>
      </w:r>
    </w:p>
    <w:p w14:paraId="454143C4" w14:textId="0BF9100E">
      <w:pPr>
        <w:widowControl w:val="0"/>
        <w:suppressAutoHyphens/>
        <w:overflowPunct w:val="0"/>
        <w:spacing w:line="360" w:lineRule="auto"/>
        <w:ind w:firstLine="720"/>
        <w:jc w:val="both"/>
        <w:textAlignment w:val="baseline"/>
        <w:rPr>
          <w:color w:val="000000"/>
          <w:szCs w:val="24"/>
          <w:lang w:eastAsia="lt-LT"/>
        </w:rPr>
      </w:pPr>
      <w:r>
        <w:rPr>
          <w:szCs w:val="24"/>
        </w:rPr>
        <w:t>„</w:t>
      </w:r>
      <w:r>
        <w:t>58</w:t>
      </w:r>
      <w:r>
        <w:rPr>
          <w:vertAlign w:val="superscript"/>
        </w:rPr>
        <w:t>1</w:t>
      </w:r>
      <w:r>
        <w:t>. Jei pareiškėjas mirė, buvo paskelbtas mirusiu arba nežinia kur esančiu po paraiškos pateikimo, paraiška toliau neadministruojama, likusi pagalbos dalis neišmokama, o išmokėta pagalbos suma nesusigrąžinama.</w:t>
      </w:r>
      <w:r>
        <w:rPr>
          <w:color w:val="000000"/>
          <w:szCs w:val="24"/>
          <w:lang w:eastAsia="lt-LT"/>
        </w:rPr>
        <w:t>“</w:t>
      </w:r>
    </w:p>
    <w:p w14:paraId="330FF067" w14:textId="62117870">
      <w:pPr>
        <w:widowControl w:val="0"/>
        <w:suppressAutoHyphens/>
        <w:overflowPunct w:val="0"/>
        <w:spacing w:line="360" w:lineRule="auto"/>
        <w:ind w:firstLine="720"/>
        <w:jc w:val="both"/>
        <w:textAlignment w:val="baseline"/>
        <w:rPr>
          <w:color w:val="000000"/>
          <w:szCs w:val="24"/>
          <w:lang w:eastAsia="lt-LT"/>
        </w:rPr>
      </w:pPr>
      <w:r>
        <w:rPr>
          <w:color w:val="000000"/>
          <w:szCs w:val="24"/>
          <w:lang w:eastAsia="lt-LT"/>
        </w:rPr>
        <w:t>1.13</w:t>
      </w:r>
      <w:r>
        <w:rPr>
          <w:color w:val="000000"/>
          <w:szCs w:val="24"/>
          <w:lang w:eastAsia="lt-LT"/>
        </w:rPr>
        <w:t>. Pakeičiu Taisyklių 1 priedo skilties „PRIDEDAMA“ 3</w:t>
      </w:r>
      <w:r>
        <w:rPr>
          <w:szCs w:val="24"/>
        </w:rPr>
        <w:t xml:space="preserve"> punktą ir jį išdėstau taip:</w:t>
      </w:r>
    </w:p>
    <w:p w14:paraId="05867ECE" w14:textId="41FD045A">
      <w:pPr>
        <w:widowControl w:val="0"/>
        <w:tabs>
          <w:tab w:val="left" w:pos="360"/>
          <w:tab w:val="left" w:pos="993"/>
        </w:tabs>
        <w:overflowPunct w:val="0"/>
        <w:spacing w:line="360" w:lineRule="auto"/>
        <w:ind w:firstLine="720"/>
        <w:jc w:val="both"/>
        <w:textAlignment w:val="baseline"/>
        <w:rPr>
          <w:color w:val="000000"/>
          <w:szCs w:val="24"/>
          <w:lang w:eastAsia="lt-LT"/>
        </w:rPr>
      </w:pPr>
      <w:r>
        <w:rPr>
          <w:kern w:val="24"/>
          <w:szCs w:val="24"/>
        </w:rPr>
        <w:t>„</w:t>
      </w:r>
      <w:r>
        <w:rPr>
          <w:kern w:val="24"/>
          <w:szCs w:val="24"/>
        </w:rPr>
        <w:t>3</w:t>
      </w:r>
      <w:r>
        <w:rPr>
          <w:kern w:val="24"/>
          <w:szCs w:val="24"/>
        </w:rPr>
        <w:t xml:space="preserve">. </w:t>
      </w:r>
      <w:r>
        <w:rPr>
          <w:color w:val="000000"/>
          <w:szCs w:val="24"/>
          <w:lang w:eastAsia="lt-LT"/>
        </w:rPr>
        <w:t>Komercinis (-iai) pasiūlymas (-ai) ir (arba) viešai prekių ar paslaugų teikėjų, kuriems tai yra įprastinė komercinė veikla, pateikta atspausdinta informacija, jei išlaidos dar neatliktos, ir (arba) pirkimo / apmokėjimo dokumentų kopijos, jei išlaidos jau atliktos.“</w:t>
      </w:r>
    </w:p>
    <w:p w14:paraId="378C0C41" w14:textId="21C210F8">
      <w:pPr>
        <w:spacing w:line="360" w:lineRule="auto"/>
        <w:ind w:firstLine="710"/>
        <w:jc w:val="both"/>
        <w:rPr>
          <w:szCs w:val="24"/>
          <w:lang w:eastAsia="lt-LT"/>
        </w:rPr>
      </w:pPr>
      <w:r>
        <w:rPr>
          <w:color w:val="000000"/>
          <w:szCs w:val="24"/>
          <w:lang w:eastAsia="lt-LT"/>
        </w:rPr>
        <w:t>2</w:t>
      </w:r>
      <w:r>
        <w:rPr>
          <w:color w:val="000000"/>
          <w:szCs w:val="24"/>
          <w:lang w:eastAsia="lt-LT"/>
        </w:rPr>
        <w:t xml:space="preserve">.  N u s t a t a u, kad šis įsakymas įsigalioja 2025 m. sausio 17 d.</w:t>
      </w:r>
    </w:p>
    <w:p w14:paraId="3CFC566B" w14:textId="77777777">
      <w:pPr>
        <w:widowControl w:val="0"/>
        <w:suppressAutoHyphens/>
        <w:overflowPunct w:val="0"/>
        <w:spacing w:line="360" w:lineRule="auto"/>
        <w:ind w:firstLine="710"/>
        <w:jc w:val="both"/>
        <w:textAlignment w:val="baseline"/>
        <w:rPr>
          <w:color w:val="000000"/>
          <w:szCs w:val="24"/>
          <w:lang w:eastAsia="lt-LT"/>
        </w:rPr>
      </w:pPr>
    </w:p>
    <w:p w14:paraId="15308909" w14:textId="62E14E2B">
      <w:pPr>
        <w:overflowPunct w:val="0"/>
        <w:spacing w:line="360" w:lineRule="auto"/>
        <w:jc w:val="both"/>
        <w:textAlignment w:val="baseline"/>
      </w:pPr>
      <w:r>
        <w:t xml:space="preserve">Žemės ūkio ministras                                                                                          </w:t>
      </w:r>
    </w:p>
    <w:sectPr>
      <w:headerReference w:type="even" r:id="rId12"/>
      <w:headerReference w:type="default" r:id="rId13"/>
      <w:footerReference w:type="even" r:id="rId14"/>
      <w:footerReference w:type="default" r:id="rId15"/>
      <w:headerReference w:type="first" r:id="rId16"/>
      <w:footerReference w:type="first" r:id="rId17"/>
      <w:pgSz w:w="11907" w:h="16840"/>
      <w:pgMar w:top="1134" w:right="1134" w:bottom="993" w:left="1701" w:header="567" w:footer="567" w:gutter="0"/>
      <w:cols w:space="1296"/>
      <w:titlePg/>
      <w:docGrid w:linePitch="326"/>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5EFBE" w14:textId="77777777">
      <w:pPr>
        <w:overflowPunct w:val="0"/>
        <w:jc w:val="both"/>
        <w:textAlignment w:val="baseline"/>
        <w:rPr>
          <w:lang w:val="en-GB"/>
        </w:rPr>
      </w:pPr>
      <w:r>
        <w:rPr>
          <w:lang w:val="en-GB"/>
        </w:rPr>
        <w:separator/>
      </w:r>
    </w:p>
  </w:endnote>
  <w:endnote w:type="continuationSeparator" w:id="0">
    <w:p w14:paraId="52743775" w14:textId="77777777">
      <w:pPr>
        <w:overflowPunct w:val="0"/>
        <w:jc w:val="both"/>
        <w:textAlignment w:val="baseline"/>
        <w:rPr>
          <w:lang w:val="en-GB"/>
        </w:rPr>
      </w:pPr>
      <w:r>
        <w:rPr>
          <w:lang w:val="en-GB"/>
        </w:rPr>
        <w:continuationSeparator/>
      </w:r>
    </w:p>
  </w:endnote>
  <w:endnote w:type="continuationNotice" w:id="1">
    <w:p w14:paraId="0E721DA3" w14:textId="77777777"/>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Segoe UI">
    <w:panose1 w:val="020B0502040204020203"/>
    <w:charset w:val="BA"/>
    <w:family w:val="swiss"/>
    <w:pitch w:val="variable"/>
    <w:sig w:usb0="E10022FF" w:usb1="C000E47F" w:usb2="00000029" w:usb3="00000000" w:csb0="000001D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37EF6" w14:textId="77777777">
    <w:pPr>
      <w:tabs>
        <w:tab w:val="center" w:pos="4153"/>
        <w:tab w:val="right" w:pos="8306"/>
      </w:tabs>
      <w:overflowPunct w:val="0"/>
      <w:jc w:val="both"/>
      <w:textAlignment w:val="baseline"/>
      <w:rPr>
        <w:lang w:val="en-GB"/>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5B9D6" w14:textId="77777777">
    <w:pPr>
      <w:tabs>
        <w:tab w:val="center" w:pos="4153"/>
        <w:tab w:val="right" w:pos="8306"/>
      </w:tabs>
      <w:overflowPunct w:val="0"/>
      <w:jc w:val="both"/>
      <w:textAlignment w:val="baseline"/>
      <w:rPr>
        <w:lang w:val="en-GB"/>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1BD86" w14:textId="77777777">
    <w:pPr>
      <w:tabs>
        <w:tab w:val="center" w:pos="4153"/>
        <w:tab w:val="right" w:pos="8306"/>
      </w:tabs>
      <w:overflowPunct w:val="0"/>
      <w:jc w:val="both"/>
      <w:textAlignment w:val="baseline"/>
      <w:rPr>
        <w:lang w:val="en-GB"/>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BCD25" w14:textId="77777777">
      <w:pPr>
        <w:overflowPunct w:val="0"/>
        <w:jc w:val="both"/>
        <w:textAlignment w:val="baseline"/>
        <w:rPr>
          <w:lang w:val="en-GB"/>
        </w:rPr>
      </w:pPr>
      <w:r>
        <w:rPr>
          <w:lang w:val="en-GB"/>
        </w:rPr>
        <w:separator/>
      </w:r>
    </w:p>
  </w:footnote>
  <w:footnote w:type="continuationSeparator" w:id="0">
    <w:p w14:paraId="2C0AE05A" w14:textId="77777777">
      <w:pPr>
        <w:overflowPunct w:val="0"/>
        <w:jc w:val="both"/>
        <w:textAlignment w:val="baseline"/>
        <w:rPr>
          <w:lang w:val="en-GB"/>
        </w:rPr>
      </w:pPr>
      <w:r>
        <w:rPr>
          <w:lang w:val="en-GB"/>
        </w:rPr>
        <w:continuationSeparator/>
      </w:r>
    </w:p>
  </w:footnote>
  <w:footnote w:type="continuationNotice" w:id="1">
    <w:p w14:paraId="1494E328" w14:textId="77777777"/>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3006" w14:textId="77777777">
    <w:pPr>
      <w:tabs>
        <w:tab w:val="center" w:pos="4153"/>
        <w:tab w:val="right" w:pos="8306"/>
      </w:tabs>
      <w:overflowPunct w:val="0"/>
      <w:jc w:val="both"/>
      <w:textAlignment w:val="baseline"/>
      <w:rPr>
        <w:lang w:val="en-GB"/>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80A3B" w14:textId="7257B121">
    <w:pPr>
      <w:tabs>
        <w:tab w:val="center" w:pos="4153"/>
        <w:tab w:val="right" w:pos="8306"/>
      </w:tabs>
      <w:overflowPunct w:val="0"/>
      <w:jc w:val="center"/>
      <w:textAlignment w:val="baseline"/>
      <w:rPr>
        <w:lang w:val="en-GB"/>
      </w:rPr>
    </w:pPr>
    <w:r>
      <w:rPr>
        <w:lang w:val="en-GB"/>
      </w:rPr>
      <w:fldChar w:fldCharType="begin"/>
    </w:r>
    <w:r>
      <w:rPr>
        <w:lang w:val="en-GB"/>
      </w:rPr>
      <w:instrText>PAGE   \* MERGEFORMAT</w:instrText>
    </w:r>
    <w:r>
      <w:rPr>
        <w:lang w:val="en-GB"/>
      </w:rPr>
      <w:fldChar w:fldCharType="separate"/>
    </w:r>
    <w:r>
      <w:t>2</w:t>
    </w:r>
    <w:r>
      <w:rPr>
        <w:lang w:val="en-GB"/>
      </w:rPr>
      <w:fldChar w:fldCharType="end"/>
    </w:r>
  </w:p>
  <w:p w14:paraId="7DF74476" w14:textId="146D865B">
    <w:pPr>
      <w:tabs>
        <w:tab w:val="center" w:pos="4153"/>
        <w:tab w:val="right" w:pos="8306"/>
      </w:tabs>
      <w:overflowPunct w:val="0"/>
      <w:jc w:val="right"/>
      <w:textAlignment w:val="baseline"/>
      <w:rPr>
        <w:b/>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4D891" w14:textId="4BA7B2F5">
    <w:pPr>
      <w:tabs>
        <w:tab w:val="center" w:pos="4153"/>
        <w:tab w:val="right" w:pos="8306"/>
      </w:tabs>
      <w:overflowPunct w:val="0"/>
      <w:jc w:val="both"/>
      <w:textAlignment w:val="baseline"/>
      <w:rPr>
        <w:lang w:val="en-GB"/>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hyphenationZone w:val="396"/>
  <w:doNotHyphenateCaps/>
  <w:drawingGridHorizontalSpacing w:val="6"/>
  <w:drawingGridVerticalSpacing w:val="6"/>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4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82C461"/>
  <w15:docId w15:val="{AD9E77FD-038F-440A-9B1E-CE78F0C0EC69}"/>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487209861">
      <w:bodyDiv w:val="1"/>
      <w:marLeft w:val="0"/>
      <w:marRight w:val="0"/>
      <w:marTop w:val="0"/>
      <w:marBottom w:val="0"/>
      <w:divBdr>
        <w:top w:val="none" w:sz="0" w:space="0" w:color="auto"/>
        <w:left w:val="none" w:sz="0" w:space="0" w:color="auto"/>
        <w:bottom w:val="none" w:sz="0" w:space="0" w:color="auto"/>
        <w:right w:val="none" w:sz="0" w:space="0" w:color="auto"/>
      </w:divBdr>
    </w:div>
    <w:div w:id="2045672395">
      <w:bodyDiv w:val="1"/>
      <w:marLeft w:val="0"/>
      <w:marRight w:val="0"/>
      <w:marTop w:val="0"/>
      <w:marBottom w:val="0"/>
      <w:divBdr>
        <w:top w:val="none" w:sz="0" w:space="0" w:color="auto"/>
        <w:left w:val="none" w:sz="0" w:space="0" w:color="auto"/>
        <w:bottom w:val="none" w:sz="0" w:space="0" w:color="auto"/>
        <w:right w:val="none" w:sz="0" w:space="0" w:color="auto"/>
      </w:divBdr>
    </w:div>
    <w:div w:id="206733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2" Type="http://schemas.openxmlformats.org/officeDocument/2006/relationships/header" Target="header1.xml"/>
  <Relationship Id="rId13" Type="http://schemas.openxmlformats.org/officeDocument/2006/relationships/header" Target="header2.xml"/>
  <Relationship Id="rId14" Type="http://schemas.openxmlformats.org/officeDocument/2006/relationships/footer" Target="footer1.xml"/>
  <Relationship Id="rId15" Type="http://schemas.openxmlformats.org/officeDocument/2006/relationships/footer" Target="footer2.xml"/>
  <Relationship Id="rId16" Type="http://schemas.openxmlformats.org/officeDocument/2006/relationships/header" Target="header3.xml"/>
  <Relationship Id="rId17" Type="http://schemas.openxmlformats.org/officeDocument/2006/relationships/footer" Target="footer3.xml"/>
  <Relationship Id="rId18" Type="http://schemas.openxmlformats.org/officeDocument/2006/relationships/fontTable" Target="fontTable.xml"/>
  <Relationship Id="rId19"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D3D01CC58701429FE5DB29CB83D7E8" ma:contentTypeVersion="11" ma:contentTypeDescription="Create a new document." ma:contentTypeScope="" ma:versionID="2df4cea57127db1c9ae95f05307f82d7">
  <xsd:schema xmlns:xsd="http://www.w3.org/2001/XMLSchema" xmlns:xs="http://www.w3.org/2001/XMLSchema" xmlns:p="http://schemas.microsoft.com/office/2006/metadata/properties" xmlns:ns3="9e4272f3-b6f5-4d3d-a1b6-0c5436abddba" xmlns:ns4="93187c8c-1e2f-45b0-9a4e-8600f9207f4d" targetNamespace="http://schemas.microsoft.com/office/2006/metadata/properties" ma:root="true" ma:fieldsID="1693f0e4d7bc4ecde3b730f778a7c6e0" ns3:_="" ns4:_="">
    <xsd:import namespace="9e4272f3-b6f5-4d3d-a1b6-0c5436abddba"/>
    <xsd:import namespace="93187c8c-1e2f-45b0-9a4e-8600f9207f4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4272f3-b6f5-4d3d-a1b6-0c5436abddb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187c8c-1e2f-45b0-9a4e-8600f9207f4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2C536F-3CFF-4B97-A9EB-76C9F5FC4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4272f3-b6f5-4d3d-a1b6-0c5436abddba"/>
    <ds:schemaRef ds:uri="93187c8c-1e2f-45b0-9a4e-8600f9207f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8A1A2C-A07F-4A99-AEFB-CE0290B67AE6}">
  <ds:schemaRefs>
    <ds:schemaRef ds:uri="http://schemas.microsoft.com/sharepoint/v3/contenttype/forms"/>
  </ds:schemaRefs>
</ds:datastoreItem>
</file>

<file path=customXml/itemProps3.xml><?xml version="1.0" encoding="utf-8"?>
<ds:datastoreItem xmlns:ds="http://schemas.openxmlformats.org/officeDocument/2006/customXml" ds:itemID="{80854B63-A664-421C-89F1-05F09161B5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1112</Words>
  <Characters>7231</Characters>
  <Application>Microsoft Office Word</Application>
  <DocSecurity>4</DocSecurity>
  <Lines>112</Lines>
  <Paragraphs>40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8303</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2024-11-25T14:49:00Z</dcterms:created>
  <dc:creator>adlibuser</dc:creator>
  <lastModifiedBy>adlibuser</lastModifiedBy>
  <dcterms:modified xsi:type="dcterms:W3CDTF">2024-11-25T14:49:00Z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0x010100D5D3D01CC58701429FE5DB29CB83D7E8</vt:lpwstr>
  </property>
</Properties>
</file>