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D3E1D" w14:textId="478391DF" w:rsidR="00E92A98" w:rsidRDefault="00AA4375" w:rsidP="00AA4375">
      <w:pPr>
        <w:ind w:left="5184"/>
        <w:rPr>
          <w:b/>
          <w:szCs w:val="24"/>
        </w:rPr>
      </w:pPr>
      <w:r>
        <w:t xml:space="preserve">                </w:t>
      </w:r>
      <w:r>
        <w:rPr>
          <w:b/>
          <w:szCs w:val="24"/>
        </w:rPr>
        <w:t>Projektas Nr. XIVP-4225(2)</w:t>
      </w:r>
    </w:p>
    <w:p w14:paraId="44B0ABAD" w14:textId="77777777" w:rsidR="00E92A98" w:rsidRDefault="00E92A98">
      <w:pPr>
        <w:ind w:firstLine="62"/>
        <w:jc w:val="center"/>
        <w:rPr>
          <w:b/>
          <w:bCs/>
          <w:caps/>
          <w:szCs w:val="24"/>
        </w:rPr>
      </w:pPr>
    </w:p>
    <w:p w14:paraId="48B6DCFF" w14:textId="77777777" w:rsidR="00E92A98" w:rsidRDefault="00E92A98">
      <w:pPr>
        <w:jc w:val="center"/>
        <w:rPr>
          <w:b/>
          <w:bCs/>
          <w:caps/>
          <w:szCs w:val="24"/>
        </w:rPr>
      </w:pPr>
    </w:p>
    <w:p w14:paraId="2A48F19D" w14:textId="77777777" w:rsidR="00E92A98" w:rsidRDefault="00AA4375">
      <w:pPr>
        <w:jc w:val="center"/>
        <w:rPr>
          <w:b/>
          <w:bCs/>
          <w:caps/>
          <w:szCs w:val="24"/>
        </w:rPr>
      </w:pPr>
      <w:r>
        <w:rPr>
          <w:b/>
          <w:bCs/>
          <w:caps/>
          <w:szCs w:val="24"/>
        </w:rPr>
        <w:t>LIETUVOS RESPUBLIKOS</w:t>
      </w:r>
    </w:p>
    <w:p w14:paraId="4B69D8BE" w14:textId="1D704C73" w:rsidR="00E92A98" w:rsidRDefault="00AA4375">
      <w:pPr>
        <w:jc w:val="center"/>
        <w:rPr>
          <w:b/>
          <w:caps/>
          <w:szCs w:val="24"/>
        </w:rPr>
      </w:pPr>
      <w:r>
        <w:rPr>
          <w:b/>
          <w:caps/>
          <w:szCs w:val="24"/>
        </w:rPr>
        <w:t>GYVENTOJŲ PAJAMŲ MOKESČIO ĮSTATYMO NR. IX-1007 17 ir 20 STRAIPSNIŲ PAKEITIMO</w:t>
      </w:r>
    </w:p>
    <w:p w14:paraId="36ACE085" w14:textId="77777777" w:rsidR="00E92A98" w:rsidRDefault="00AA4375">
      <w:pPr>
        <w:jc w:val="center"/>
        <w:rPr>
          <w:caps/>
          <w:szCs w:val="24"/>
        </w:rPr>
      </w:pPr>
      <w:r>
        <w:rPr>
          <w:b/>
          <w:caps/>
          <w:szCs w:val="24"/>
        </w:rPr>
        <w:t>ĮSTATYMAS</w:t>
      </w:r>
    </w:p>
    <w:p w14:paraId="212E0C96" w14:textId="77777777" w:rsidR="00E92A98" w:rsidRDefault="00E92A98">
      <w:pPr>
        <w:jc w:val="center"/>
        <w:rPr>
          <w:b/>
          <w:caps/>
          <w:szCs w:val="24"/>
        </w:rPr>
      </w:pPr>
    </w:p>
    <w:p w14:paraId="7EA587CB" w14:textId="63610F0F" w:rsidR="00E92A98" w:rsidRDefault="00AA4375">
      <w:pPr>
        <w:jc w:val="center"/>
        <w:rPr>
          <w:szCs w:val="24"/>
        </w:rPr>
      </w:pPr>
      <w:r>
        <w:rPr>
          <w:szCs w:val="24"/>
        </w:rPr>
        <w:t xml:space="preserve">2024 m.          d. Nr. </w:t>
      </w:r>
    </w:p>
    <w:p w14:paraId="2F576484" w14:textId="77777777" w:rsidR="00E92A98" w:rsidRDefault="00AA4375">
      <w:pPr>
        <w:jc w:val="center"/>
        <w:rPr>
          <w:szCs w:val="24"/>
        </w:rPr>
      </w:pPr>
      <w:r>
        <w:rPr>
          <w:szCs w:val="24"/>
        </w:rPr>
        <w:t>Vilnius</w:t>
      </w:r>
    </w:p>
    <w:p w14:paraId="46B7F9D7" w14:textId="77777777" w:rsidR="00E92A98" w:rsidRDefault="00E92A98">
      <w:pPr>
        <w:spacing w:line="276" w:lineRule="auto"/>
        <w:jc w:val="center"/>
        <w:rPr>
          <w:szCs w:val="24"/>
        </w:rPr>
      </w:pPr>
    </w:p>
    <w:p w14:paraId="1AF87770" w14:textId="081F11FA" w:rsidR="00E92A98" w:rsidRDefault="00AA4375">
      <w:pPr>
        <w:ind w:firstLine="720"/>
        <w:jc w:val="both"/>
        <w:rPr>
          <w:b/>
          <w:bCs/>
          <w:szCs w:val="24"/>
        </w:rPr>
      </w:pPr>
      <w:r>
        <w:rPr>
          <w:b/>
          <w:bCs/>
          <w:szCs w:val="24"/>
        </w:rPr>
        <w:t>1 straipsnis. 17 straipsnio pakeitimas</w:t>
      </w:r>
    </w:p>
    <w:p w14:paraId="4DC7192A" w14:textId="174AB385" w:rsidR="00E92A98" w:rsidRDefault="00AA4375">
      <w:pPr>
        <w:ind w:firstLine="720"/>
        <w:jc w:val="both"/>
        <w:rPr>
          <w:szCs w:val="24"/>
        </w:rPr>
      </w:pPr>
      <w:r>
        <w:rPr>
          <w:szCs w:val="24"/>
        </w:rPr>
        <w:t>1. Pakeisti 17 straipsnio 1 dalies 9 punktą ir jį išdėstyti taip:</w:t>
      </w:r>
    </w:p>
    <w:p w14:paraId="6A1D4F86" w14:textId="614105CA" w:rsidR="00E92A98" w:rsidRDefault="00AA4375">
      <w:pPr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 xml:space="preserve">„9) pasibaigus draudimo sutarties galiojimo terminui gauta gyvybės draudimo išmoka pagal gyvybės draudimo sutartį, kuri sudaryta nuo 2003 m. sausio 1 d. iki 2012 m. gruodžio </w:t>
      </w:r>
      <w:r w:rsidR="005934D1">
        <w:rPr>
          <w:color w:val="000000"/>
          <w:szCs w:val="24"/>
          <w:lang w:eastAsia="lt-LT"/>
        </w:rPr>
        <w:t>31 </w:t>
      </w:r>
      <w:r>
        <w:rPr>
          <w:color w:val="000000"/>
          <w:szCs w:val="24"/>
          <w:lang w:eastAsia="lt-LT"/>
        </w:rPr>
        <w:t>d. ir kurioje numatyta, kad draudimo išmoka išmokama ne tik įvykus draudžiamajam įvykiui, bet ir pasibaigus draudimo sutarties galiojimo terminui, jeigu gyvybės draudimo sutarties terminas yra ne trumpesnis kaip 5 metai ir išmokos gavimo momentu išmokos gavėjas yra sulaukęs 55 metų</w:t>
      </w:r>
      <w:r w:rsidR="005934D1">
        <w:rPr>
          <w:color w:val="000000"/>
          <w:szCs w:val="24"/>
          <w:lang w:eastAsia="lt-LT"/>
        </w:rPr>
        <w:t xml:space="preserve"> </w:t>
      </w:r>
      <w:r>
        <w:rPr>
          <w:color w:val="000000"/>
          <w:szCs w:val="24"/>
          <w:lang w:eastAsia="lt-LT"/>
        </w:rPr>
        <w:t xml:space="preserve">arba išmokos gavimo momentu išmokos gavėjui yra nustatytas 0–40 procentų </w:t>
      </w:r>
      <w:proofErr w:type="spellStart"/>
      <w:r>
        <w:rPr>
          <w:color w:val="000000"/>
          <w:szCs w:val="24"/>
          <w:lang w:eastAsia="lt-LT"/>
        </w:rPr>
        <w:t>dalyvumo</w:t>
      </w:r>
      <w:proofErr w:type="spellEnd"/>
      <w:r>
        <w:rPr>
          <w:color w:val="000000"/>
          <w:szCs w:val="24"/>
          <w:lang w:eastAsia="lt-LT"/>
        </w:rPr>
        <w:t xml:space="preserve"> lygis </w:t>
      </w:r>
      <w:r>
        <w:rPr>
          <w:szCs w:val="24"/>
        </w:rPr>
        <w:t>(iki 2023 m. gruodžio 31 d. nustatytas 0</w:t>
      </w:r>
      <w:r>
        <w:rPr>
          <w:color w:val="000000"/>
          <w:szCs w:val="24"/>
          <w:lang w:eastAsia="lt-LT"/>
        </w:rPr>
        <w:t>–</w:t>
      </w:r>
      <w:r>
        <w:rPr>
          <w:szCs w:val="24"/>
        </w:rPr>
        <w:t>40 procentų darbingumo lygis)</w:t>
      </w:r>
      <w:r>
        <w:rPr>
          <w:color w:val="000000"/>
          <w:szCs w:val="24"/>
          <w:lang w:eastAsia="lt-LT"/>
        </w:rPr>
        <w:t xml:space="preserve">, arba išmokos gavėjas yra vaikas su negalia, kuriam nustatytas pirmo ar antro lygio individualios pagalbos teikimo išlaidų kompensacijos poreikis </w:t>
      </w:r>
      <w:r>
        <w:rPr>
          <w:szCs w:val="24"/>
        </w:rPr>
        <w:t>(iki 2023 m. gruodžio 31 d. nustatytas specialusis nuolatinės slaugos poreikis)</w:t>
      </w:r>
      <w:r>
        <w:rPr>
          <w:color w:val="000000"/>
          <w:szCs w:val="24"/>
          <w:lang w:eastAsia="lt-LT"/>
        </w:rPr>
        <w:t xml:space="preserve">, taip pat nutraukus tokią sutartį gyventojui mokamos sumos, jeigu sutartis nutraukta ne anksčiau kaip praėjus 5 metams nuo jos sudarymo dienos ir gyventojas yra sulaukęs 55 metų arba išmokos gavimo momentu išmokos gavėjui yra nustatytas 0–40 procentų </w:t>
      </w:r>
      <w:proofErr w:type="spellStart"/>
      <w:r>
        <w:rPr>
          <w:color w:val="000000"/>
          <w:szCs w:val="24"/>
          <w:lang w:eastAsia="lt-LT"/>
        </w:rPr>
        <w:t>dalyvumo</w:t>
      </w:r>
      <w:proofErr w:type="spellEnd"/>
      <w:r>
        <w:rPr>
          <w:color w:val="000000"/>
          <w:szCs w:val="24"/>
          <w:lang w:eastAsia="lt-LT"/>
        </w:rPr>
        <w:t xml:space="preserve"> lygis </w:t>
      </w:r>
      <w:r>
        <w:rPr>
          <w:szCs w:val="24"/>
        </w:rPr>
        <w:t>(iki 2023 m. gruodžio 31 d. nustatytas 0</w:t>
      </w:r>
      <w:r>
        <w:rPr>
          <w:color w:val="000000"/>
          <w:szCs w:val="24"/>
          <w:lang w:eastAsia="lt-LT"/>
        </w:rPr>
        <w:t>–</w:t>
      </w:r>
      <w:r>
        <w:rPr>
          <w:szCs w:val="24"/>
        </w:rPr>
        <w:t>40 procentų darbingumo lygis)</w:t>
      </w:r>
      <w:r>
        <w:rPr>
          <w:color w:val="000000"/>
          <w:szCs w:val="24"/>
          <w:lang w:eastAsia="lt-LT"/>
        </w:rPr>
        <w:t xml:space="preserve">, arba išmokos gavėjas yra vaikas su negalia, kuriam nustatytas pirmo ar antro lygio individualios pagalbos teikimo išlaidų kompensacijos poreikis </w:t>
      </w:r>
      <w:r>
        <w:rPr>
          <w:szCs w:val="24"/>
        </w:rPr>
        <w:t>(iki 2023 m. gruodžio 31 d. nustatytas specialusis nuolatinės slaugos poreikis)</w:t>
      </w:r>
      <w:r>
        <w:rPr>
          <w:color w:val="000000"/>
          <w:szCs w:val="24"/>
          <w:lang w:eastAsia="lt-LT"/>
        </w:rPr>
        <w:t>;“.</w:t>
      </w:r>
    </w:p>
    <w:p w14:paraId="0180BDC5" w14:textId="01A3AB11" w:rsidR="00E92A98" w:rsidRDefault="00AA4375">
      <w:pPr>
        <w:ind w:firstLine="720"/>
        <w:jc w:val="both"/>
        <w:rPr>
          <w:szCs w:val="24"/>
        </w:rPr>
      </w:pPr>
      <w:r>
        <w:rPr>
          <w:szCs w:val="24"/>
        </w:rPr>
        <w:t>2. Pakeisti 17 straipsnio 1 dalies 9</w:t>
      </w:r>
      <w:r>
        <w:rPr>
          <w:szCs w:val="24"/>
          <w:vertAlign w:val="superscript"/>
        </w:rPr>
        <w:t>1</w:t>
      </w:r>
      <w:r>
        <w:rPr>
          <w:szCs w:val="24"/>
        </w:rPr>
        <w:t xml:space="preserve"> punktą ir jį išdėstyti taip:</w:t>
      </w:r>
    </w:p>
    <w:p w14:paraId="42FCEC3C" w14:textId="1688092D" w:rsidR="00E92A98" w:rsidRDefault="00AA4375">
      <w:pPr>
        <w:ind w:firstLine="720"/>
        <w:jc w:val="both"/>
        <w:rPr>
          <w:color w:val="000000"/>
          <w:szCs w:val="24"/>
          <w:lang w:eastAsia="lt-LT"/>
        </w:rPr>
      </w:pPr>
      <w:r>
        <w:rPr>
          <w:szCs w:val="24"/>
        </w:rPr>
        <w:t>„</w:t>
      </w:r>
      <w:r>
        <w:rPr>
          <w:color w:val="000000"/>
          <w:szCs w:val="24"/>
          <w:lang w:eastAsia="lt-LT"/>
        </w:rPr>
        <w:t>9</w:t>
      </w:r>
      <w:r>
        <w:rPr>
          <w:color w:val="000000"/>
          <w:szCs w:val="24"/>
          <w:vertAlign w:val="superscript"/>
          <w:lang w:eastAsia="lt-LT"/>
        </w:rPr>
        <w:t>1</w:t>
      </w:r>
      <w:r>
        <w:rPr>
          <w:color w:val="000000"/>
          <w:szCs w:val="24"/>
          <w:lang w:eastAsia="lt-LT"/>
        </w:rPr>
        <w:t xml:space="preserve">) pasibaigus draudimo sutarties galiojimo terminui gauta gyvybės draudimo išmoka pagal gyvybės draudimo sutartį, kuri sudaryta nuo 2013 m. sausio 1 d. ir kurioje numatyta, kad draudimo išmoka išmokama ne tik įvykus draudžiamajam įvykiui, bet ir pasibaigus draudimo sutarties galiojimo terminui, jeigu gyvybės draudimo sutarties terminas yra ne trumpesnis kaip 5 metai ir išmokos gavimo momentu išmokos gavėjui iki senatvės pensijos amžiaus, nustatyto gyvybės draudimo sutarties sudarymo metu galiojusiame Lietuvos Respublikos valstybinių socialinio draudimo pensijų įstatyme, yra likę ne daugiau kaip 5 metai arba išmokos gavimo momentu išmokos gavėjui yra nustatytas 0–40 procentų </w:t>
      </w:r>
      <w:proofErr w:type="spellStart"/>
      <w:r>
        <w:rPr>
          <w:color w:val="000000"/>
          <w:szCs w:val="24"/>
          <w:lang w:eastAsia="lt-LT"/>
        </w:rPr>
        <w:t>dalyvumo</w:t>
      </w:r>
      <w:proofErr w:type="spellEnd"/>
      <w:r>
        <w:rPr>
          <w:color w:val="000000"/>
          <w:szCs w:val="24"/>
          <w:lang w:eastAsia="lt-LT"/>
        </w:rPr>
        <w:t xml:space="preserve"> lygis </w:t>
      </w:r>
      <w:r>
        <w:rPr>
          <w:szCs w:val="24"/>
        </w:rPr>
        <w:t xml:space="preserve">(iki 2023 m. gruodžio 31 d. nustatytas </w:t>
      </w:r>
      <w:r>
        <w:rPr>
          <w:color w:val="000000"/>
          <w:szCs w:val="24"/>
          <w:lang w:eastAsia="lt-LT"/>
        </w:rPr>
        <w:t>0–</w:t>
      </w:r>
      <w:r>
        <w:rPr>
          <w:szCs w:val="24"/>
        </w:rPr>
        <w:t>40 procentų darbingumo lygis)</w:t>
      </w:r>
      <w:r>
        <w:rPr>
          <w:color w:val="000000"/>
          <w:szCs w:val="24"/>
          <w:lang w:eastAsia="lt-LT"/>
        </w:rPr>
        <w:t xml:space="preserve">, arba išmokos gavėjas yra vaikas su negalia, kuriam nustatytas pirmo ar antro lygio individualios pagalbos teikimo išlaidų kompensacijos poreikis </w:t>
      </w:r>
      <w:r>
        <w:rPr>
          <w:szCs w:val="24"/>
        </w:rPr>
        <w:t>(iki 2023 m. gruodžio 31 d. nustatytas specialusis nuolatinės slaugos poreikis)</w:t>
      </w:r>
      <w:r>
        <w:rPr>
          <w:color w:val="000000"/>
          <w:szCs w:val="24"/>
          <w:lang w:eastAsia="lt-LT"/>
        </w:rPr>
        <w:t xml:space="preserve">, taip pat nutraukus gyvybės draudimo sutartį gyventojui mokamos sumos, jeigu sutartis nutraukta ne anksčiau kaip praėjus 5 metams nuo jos sudarymo dienos ir gyventojui iki senatvės pensijos amžiaus, nustatyto gyvybės draudimo sutarties sudarymo metu galiojusiame Valstybinių socialinio draudimo pensijų įstatyme, yra likę ne daugiau kaip 5 metai arba išmokos gavimo momentu išmokos gavėjui yra nustatytas 0–40 procentų </w:t>
      </w:r>
      <w:proofErr w:type="spellStart"/>
      <w:r>
        <w:rPr>
          <w:color w:val="000000"/>
          <w:szCs w:val="24"/>
          <w:lang w:eastAsia="lt-LT"/>
        </w:rPr>
        <w:t>dalyvumo</w:t>
      </w:r>
      <w:proofErr w:type="spellEnd"/>
      <w:r>
        <w:rPr>
          <w:color w:val="000000"/>
          <w:szCs w:val="24"/>
          <w:lang w:eastAsia="lt-LT"/>
        </w:rPr>
        <w:t xml:space="preserve"> lygis </w:t>
      </w:r>
      <w:r>
        <w:rPr>
          <w:szCs w:val="24"/>
        </w:rPr>
        <w:t xml:space="preserve">(iki 2023 m. gruodžio 31 d. nustatytas </w:t>
      </w:r>
      <w:r>
        <w:rPr>
          <w:color w:val="000000"/>
          <w:szCs w:val="24"/>
          <w:lang w:eastAsia="lt-LT"/>
        </w:rPr>
        <w:t>0–</w:t>
      </w:r>
      <w:r>
        <w:rPr>
          <w:szCs w:val="24"/>
        </w:rPr>
        <w:t>40 procentų darbingumo lygis)</w:t>
      </w:r>
      <w:r>
        <w:rPr>
          <w:color w:val="000000"/>
          <w:szCs w:val="24"/>
          <w:lang w:eastAsia="lt-LT"/>
        </w:rPr>
        <w:t xml:space="preserve">, arba išmokos gavėjas yra vaikas su negalia, kuriam nustatytas pirmo ar antro lygio individualios pagalbos teikimo išlaidų kompensacijos poreikis </w:t>
      </w:r>
      <w:r>
        <w:rPr>
          <w:szCs w:val="24"/>
        </w:rPr>
        <w:t>(iki 2023 m. gruodžio 31 d. nustatytas specialusis nuolatinės slaugos poreikis)</w:t>
      </w:r>
      <w:r>
        <w:rPr>
          <w:color w:val="000000"/>
          <w:szCs w:val="24"/>
          <w:lang w:eastAsia="lt-LT"/>
        </w:rPr>
        <w:t>;“.</w:t>
      </w:r>
    </w:p>
    <w:p w14:paraId="7BFF8014" w14:textId="18E77571" w:rsidR="00E92A98" w:rsidRDefault="00AA4375">
      <w:pPr>
        <w:ind w:firstLine="720"/>
        <w:jc w:val="both"/>
        <w:rPr>
          <w:szCs w:val="24"/>
        </w:rPr>
      </w:pPr>
      <w:r>
        <w:rPr>
          <w:szCs w:val="24"/>
        </w:rPr>
        <w:t>3. Pakeisti 17 straipsnio 1 dalies 16 punktą ir jį išdėstyti taip:</w:t>
      </w:r>
    </w:p>
    <w:p w14:paraId="13E1731C" w14:textId="7BD4C14F" w:rsidR="00E92A98" w:rsidRDefault="00AA4375">
      <w:pPr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 xml:space="preserve">„16) pagal iki 2012 m. gruodžio 31 d. sudarytą pensijų kaupimo sutartį iš pensijų fondo gauta pensijų išmoka, jeigu pensijų kaupimo sutarties terminas yra ne trumpesnis kaip 5 metai ir </w:t>
      </w:r>
      <w:r>
        <w:rPr>
          <w:color w:val="000000"/>
          <w:szCs w:val="24"/>
          <w:lang w:eastAsia="lt-LT"/>
        </w:rPr>
        <w:lastRenderedPageBreak/>
        <w:t>išmoką gaunantis pensijų fondo dalyvis yra sulaukęs 55 metų</w:t>
      </w:r>
      <w:r w:rsidR="007237CA">
        <w:rPr>
          <w:color w:val="000000"/>
          <w:szCs w:val="24"/>
          <w:lang w:eastAsia="lt-LT"/>
        </w:rPr>
        <w:t xml:space="preserve"> </w:t>
      </w:r>
      <w:r>
        <w:rPr>
          <w:color w:val="000000"/>
          <w:szCs w:val="24"/>
          <w:lang w:eastAsia="lt-LT"/>
        </w:rPr>
        <w:t xml:space="preserve">arba išmokos gavimo momentu išmokos gavėjui yra nustatytas 0–40 procentų </w:t>
      </w:r>
      <w:proofErr w:type="spellStart"/>
      <w:r>
        <w:rPr>
          <w:color w:val="000000"/>
          <w:szCs w:val="24"/>
          <w:lang w:eastAsia="lt-LT"/>
        </w:rPr>
        <w:t>dalyvumo</w:t>
      </w:r>
      <w:proofErr w:type="spellEnd"/>
      <w:r>
        <w:rPr>
          <w:color w:val="000000"/>
          <w:szCs w:val="24"/>
          <w:lang w:eastAsia="lt-LT"/>
        </w:rPr>
        <w:t xml:space="preserve"> lygis </w:t>
      </w:r>
      <w:r>
        <w:rPr>
          <w:szCs w:val="24"/>
        </w:rPr>
        <w:t xml:space="preserve">(iki 2023 m. gruodžio 31 d. nustatytas </w:t>
      </w:r>
      <w:r>
        <w:rPr>
          <w:color w:val="000000"/>
          <w:szCs w:val="24"/>
          <w:lang w:eastAsia="lt-LT"/>
        </w:rPr>
        <w:t>0–</w:t>
      </w:r>
      <w:r>
        <w:rPr>
          <w:szCs w:val="24"/>
        </w:rPr>
        <w:t>40 procentų darbingumo lygis)</w:t>
      </w:r>
      <w:r>
        <w:rPr>
          <w:color w:val="000000"/>
          <w:szCs w:val="24"/>
          <w:lang w:eastAsia="lt-LT"/>
        </w:rPr>
        <w:t>, taip pat gyventojui išstojus iš pensijų fondo ir neperėjus į kitą pensijų fondą išmokama suma, jeigu išstojama iš pensijų fondo ne anksčiau kaip praėjus 5 metams nuo pensijų kaupimo sutarties sudarymo dienos ir pensijų išmoką gaunantis pensijų fondo dalyvis yra sulaukęs 55 metų;“.</w:t>
      </w:r>
    </w:p>
    <w:p w14:paraId="4B09A5C1" w14:textId="4C59C6D5" w:rsidR="00E92A98" w:rsidRDefault="00AA4375">
      <w:pPr>
        <w:ind w:firstLine="720"/>
        <w:jc w:val="both"/>
        <w:rPr>
          <w:szCs w:val="24"/>
        </w:rPr>
      </w:pPr>
      <w:r>
        <w:rPr>
          <w:szCs w:val="24"/>
        </w:rPr>
        <w:t>4. Pakeisti 17 straipsnio 1 dalies 16</w:t>
      </w:r>
      <w:r>
        <w:rPr>
          <w:szCs w:val="24"/>
          <w:vertAlign w:val="superscript"/>
        </w:rPr>
        <w:t>1</w:t>
      </w:r>
      <w:r>
        <w:rPr>
          <w:szCs w:val="24"/>
        </w:rPr>
        <w:t xml:space="preserve"> punktą ir jį išdėstyti taip:</w:t>
      </w:r>
    </w:p>
    <w:p w14:paraId="4C28B9E0" w14:textId="56EF118D" w:rsidR="00E92A98" w:rsidRDefault="00AA4375">
      <w:pPr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„16</w:t>
      </w:r>
      <w:r>
        <w:rPr>
          <w:color w:val="000000"/>
          <w:szCs w:val="24"/>
          <w:vertAlign w:val="superscript"/>
          <w:lang w:eastAsia="lt-LT"/>
        </w:rPr>
        <w:t>1</w:t>
      </w:r>
      <w:r>
        <w:rPr>
          <w:color w:val="000000"/>
          <w:szCs w:val="24"/>
          <w:lang w:eastAsia="lt-LT"/>
        </w:rPr>
        <w:t>) iš pensijų fondo gauta pensijų išmoka, jeigu pagal nuo 2013 m. sausio 1 d. sudarytą pensijų kaupimo sutartį šios sutarties terminas yra ne trumpesnis kaip 5 metai ir išmoką gaunančiam pensijų fondo dalyviui iki senatvės pensijos amžiaus, nustatyto pensijų kaupimo sutarties sudarymo metu galiojusiame</w:t>
      </w:r>
      <w:r w:rsidR="007237CA">
        <w:rPr>
          <w:color w:val="000000"/>
          <w:szCs w:val="24"/>
          <w:lang w:eastAsia="lt-LT"/>
        </w:rPr>
        <w:t xml:space="preserve"> </w:t>
      </w:r>
      <w:r>
        <w:rPr>
          <w:color w:val="000000"/>
          <w:szCs w:val="24"/>
          <w:lang w:eastAsia="lt-LT"/>
        </w:rPr>
        <w:t>Valstybinių socialinio draudimo pensijų įstatyme, yra likę ne daugiau kaip 5 metai</w:t>
      </w:r>
      <w:r w:rsidR="007237CA">
        <w:rPr>
          <w:color w:val="000000"/>
          <w:szCs w:val="24"/>
          <w:lang w:eastAsia="lt-LT"/>
        </w:rPr>
        <w:t xml:space="preserve"> </w:t>
      </w:r>
      <w:r>
        <w:rPr>
          <w:color w:val="000000"/>
          <w:szCs w:val="24"/>
          <w:lang w:eastAsia="lt-LT"/>
        </w:rPr>
        <w:t xml:space="preserve">arba išmokos gavimo momentu išmokos gavėjui yra nustatytas 0–40 procentų </w:t>
      </w:r>
      <w:proofErr w:type="spellStart"/>
      <w:r>
        <w:rPr>
          <w:color w:val="000000"/>
          <w:szCs w:val="24"/>
          <w:lang w:eastAsia="lt-LT"/>
        </w:rPr>
        <w:t>dalyvumo</w:t>
      </w:r>
      <w:proofErr w:type="spellEnd"/>
      <w:r>
        <w:rPr>
          <w:color w:val="000000"/>
          <w:szCs w:val="24"/>
          <w:lang w:eastAsia="lt-LT"/>
        </w:rPr>
        <w:t xml:space="preserve"> lygis </w:t>
      </w:r>
      <w:r>
        <w:rPr>
          <w:szCs w:val="24"/>
        </w:rPr>
        <w:t xml:space="preserve">(iki 2023 m. gruodžio 31 d. nustatytas </w:t>
      </w:r>
      <w:r>
        <w:rPr>
          <w:color w:val="000000"/>
          <w:szCs w:val="24"/>
          <w:lang w:eastAsia="lt-LT"/>
        </w:rPr>
        <w:t>0–</w:t>
      </w:r>
      <w:r>
        <w:rPr>
          <w:szCs w:val="24"/>
        </w:rPr>
        <w:t>40 procentų darbingumo lygis)</w:t>
      </w:r>
      <w:r>
        <w:rPr>
          <w:color w:val="000000"/>
          <w:szCs w:val="24"/>
          <w:lang w:eastAsia="lt-LT"/>
        </w:rPr>
        <w:t>, taip pat gyventojui išstojus iš pensijų fondo ir neperėjus į kitą pensijų fondą išmokama suma, jeigu išstojama iš pensijų fondo ne anksčiau kaip praėjus 5 metams nuo pensijų kaupimo sutarties sudarymo dienos ir išmoką gaunančiam pensijų fondo dalyviui iki senatvės pensijos amžiaus, nustatyto pensijų kaupimo sutarties sudarymo metu galiojusiame</w:t>
      </w:r>
      <w:r w:rsidR="007237CA">
        <w:rPr>
          <w:color w:val="000000"/>
          <w:szCs w:val="24"/>
          <w:lang w:eastAsia="lt-LT"/>
        </w:rPr>
        <w:t xml:space="preserve"> </w:t>
      </w:r>
      <w:r>
        <w:rPr>
          <w:color w:val="000000"/>
          <w:szCs w:val="24"/>
          <w:lang w:eastAsia="lt-LT"/>
        </w:rPr>
        <w:t>Valstybinių</w:t>
      </w:r>
      <w:r w:rsidR="007237CA">
        <w:rPr>
          <w:color w:val="000000"/>
          <w:szCs w:val="24"/>
          <w:lang w:eastAsia="lt-LT"/>
        </w:rPr>
        <w:t xml:space="preserve"> </w:t>
      </w:r>
      <w:r>
        <w:rPr>
          <w:color w:val="000000"/>
          <w:szCs w:val="24"/>
          <w:lang w:eastAsia="lt-LT"/>
        </w:rPr>
        <w:t>socialinio draudimo pensijų įstatyme, yra likę ne daugiau kaip 5 metai;“.</w:t>
      </w:r>
    </w:p>
    <w:p w14:paraId="06FB1D7A" w14:textId="7BE5C9A5" w:rsidR="00E92A98" w:rsidRDefault="00E92A98">
      <w:pPr>
        <w:ind w:firstLine="720"/>
        <w:jc w:val="both"/>
        <w:rPr>
          <w:szCs w:val="24"/>
        </w:rPr>
      </w:pPr>
    </w:p>
    <w:p w14:paraId="490ABE5B" w14:textId="396696E7" w:rsidR="00E92A98" w:rsidRDefault="00A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b/>
          <w:bCs/>
          <w:szCs w:val="24"/>
        </w:rPr>
      </w:pPr>
      <w:r>
        <w:rPr>
          <w:b/>
          <w:szCs w:val="24"/>
        </w:rPr>
        <w:t>2 straipsnis.</w:t>
      </w:r>
      <w:r>
        <w:rPr>
          <w:b/>
          <w:szCs w:val="24"/>
          <w:lang w:eastAsia="lt-LT"/>
        </w:rPr>
        <w:t xml:space="preserve"> </w:t>
      </w:r>
      <w:r>
        <w:rPr>
          <w:b/>
          <w:bCs/>
          <w:szCs w:val="24"/>
        </w:rPr>
        <w:t>20 straipsnio pakeitimas</w:t>
      </w:r>
    </w:p>
    <w:p w14:paraId="3C358B84" w14:textId="2C812165" w:rsidR="00E92A98" w:rsidRDefault="00AA4375">
      <w:pPr>
        <w:tabs>
          <w:tab w:val="left" w:pos="1134"/>
        </w:tabs>
        <w:ind w:firstLine="720"/>
        <w:jc w:val="both"/>
        <w:rPr>
          <w:bCs/>
          <w:szCs w:val="24"/>
        </w:rPr>
      </w:pPr>
      <w:r>
        <w:rPr>
          <w:caps/>
          <w:color w:val="000000"/>
          <w:szCs w:val="24"/>
        </w:rPr>
        <w:t>1.</w:t>
      </w:r>
      <w:r w:rsidR="007237CA">
        <w:rPr>
          <w:caps/>
          <w:color w:val="000000"/>
          <w:szCs w:val="24"/>
        </w:rPr>
        <w:t xml:space="preserve"> </w:t>
      </w:r>
      <w:r>
        <w:rPr>
          <w:bCs/>
          <w:szCs w:val="24"/>
        </w:rPr>
        <w:t>Pakeisti 20 straipsnio 1 dalį ir ją išdėstyti taip:</w:t>
      </w:r>
    </w:p>
    <w:p w14:paraId="6D36145A" w14:textId="70EAEAFE" w:rsidR="00E92A98" w:rsidRDefault="00AA4375">
      <w:pPr>
        <w:ind w:firstLine="720"/>
        <w:jc w:val="both"/>
        <w:rPr>
          <w:color w:val="000000"/>
          <w:szCs w:val="24"/>
        </w:rPr>
      </w:pPr>
      <w:r>
        <w:rPr>
          <w:caps/>
          <w:color w:val="000000"/>
          <w:szCs w:val="24"/>
        </w:rPr>
        <w:t xml:space="preserve">„1. </w:t>
      </w:r>
      <w:r>
        <w:rPr>
          <w:color w:val="000000"/>
          <w:szCs w:val="24"/>
        </w:rPr>
        <w:t>Neapmokestinamasis pajamų dydis (toliau – NPD) taikomas tik su darbo santykiais arba jų esmę atitinkančiais santykiais susijusioms pajamoms. Metinis NPD (toliau</w:t>
      </w:r>
      <w:r w:rsidR="007237CA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– MNPD), jeigu šio straipsnio 6 dalyje nenustatyta kitaip, taikomas tokia tvarka:</w:t>
      </w:r>
    </w:p>
    <w:p w14:paraId="4EB7B2E3" w14:textId="7F46012A" w:rsidR="00E92A98" w:rsidRDefault="00AA4375">
      <w:pPr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1) MNPD negali būti didesnis negu 8 964 eurai, jeigu gyventojo metinės pajamos (toliau – GMP) neviršija minimaliosios mėnesinės algos, galiojusios einamųjų kalendorinių metų sausio 1</w:t>
      </w:r>
      <w:r w:rsidR="007237CA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dieną, dvylikos dydžių sumos;</w:t>
      </w:r>
    </w:p>
    <w:p w14:paraId="78568168" w14:textId="3BA7A1DE" w:rsidR="00E92A98" w:rsidRDefault="00AA4375">
      <w:pPr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2) kai GMP viršija minimaliosios mėnesinės algos, galiojusios einamųjų kalendorinių metų sausio 1 dieną, dvylikos dydžių</w:t>
      </w:r>
      <w:bookmarkStart w:id="0" w:name="_GoBack"/>
      <w:r w:rsidR="007237CA" w:rsidRPr="00E8133E">
        <w:rPr>
          <w:szCs w:val="24"/>
        </w:rPr>
        <w:t xml:space="preserve"> </w:t>
      </w:r>
      <w:bookmarkEnd w:id="0"/>
      <w:r>
        <w:rPr>
          <w:color w:val="000000"/>
          <w:szCs w:val="24"/>
        </w:rPr>
        <w:t xml:space="preserve">sumą, tačiau neviršija </w:t>
      </w:r>
      <w:r>
        <w:t xml:space="preserve">28 647,48 </w:t>
      </w:r>
      <w:r>
        <w:rPr>
          <w:color w:val="000000"/>
          <w:szCs w:val="24"/>
        </w:rPr>
        <w:t>eurų per metus, MNPD negali būti didesnis negu suma, apskaičiuota pagal šią formulę:</w:t>
      </w:r>
    </w:p>
    <w:tbl>
      <w:tblPr>
        <w:tblW w:w="8789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E92A98" w14:paraId="4B4B1A53" w14:textId="77777777">
        <w:tc>
          <w:tcPr>
            <w:tcW w:w="8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F75E8" w14:textId="355D38B9" w:rsidR="00E92A98" w:rsidRDefault="00AA4375">
            <w:pPr>
              <w:ind w:firstLine="720"/>
              <w:jc w:val="both"/>
              <w:rPr>
                <w:szCs w:val="24"/>
              </w:rPr>
            </w:pPr>
            <w:r>
              <w:rPr>
                <w:szCs w:val="24"/>
              </w:rPr>
              <w:t>Gyventojui taikytinas MNPD = 8 964</w:t>
            </w:r>
            <w:r>
              <w:rPr>
                <w:color w:val="000000"/>
                <w:szCs w:val="24"/>
              </w:rPr>
              <w:t> </w:t>
            </w:r>
            <w:r>
              <w:rPr>
                <w:szCs w:val="24"/>
              </w:rPr>
              <w:t>– 0,49 × (GMP – dvylika minimaliosios mėnesinės algos, galiojusios einamųjų kalendorinių metų sausio 1 dieną, dydžių);</w:t>
            </w:r>
          </w:p>
        </w:tc>
      </w:tr>
    </w:tbl>
    <w:p w14:paraId="1B3DC237" w14:textId="5455EB45" w:rsidR="00E92A98" w:rsidRDefault="00E92A98">
      <w:pPr>
        <w:ind w:firstLine="720"/>
        <w:jc w:val="both"/>
        <w:rPr>
          <w:color w:val="000000"/>
          <w:szCs w:val="24"/>
        </w:rPr>
      </w:pPr>
    </w:p>
    <w:p w14:paraId="2B506636" w14:textId="70452371" w:rsidR="00E92A98" w:rsidRDefault="00AA4375">
      <w:pPr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3) kai GMP viršija </w:t>
      </w:r>
      <w:r>
        <w:t xml:space="preserve">28 647,48 </w:t>
      </w:r>
      <w:r>
        <w:rPr>
          <w:color w:val="000000"/>
          <w:szCs w:val="24"/>
        </w:rPr>
        <w:t>eurų per metus, MNPD negali būti didesnis negu suma, apskaičiuota pagal šią formulę:</w:t>
      </w:r>
    </w:p>
    <w:p w14:paraId="466E023A" w14:textId="77777777" w:rsidR="00E92A98" w:rsidRDefault="00E92A98">
      <w:pPr>
        <w:ind w:firstLine="720"/>
        <w:jc w:val="both"/>
        <w:rPr>
          <w:color w:val="000000"/>
          <w:szCs w:val="24"/>
        </w:rPr>
      </w:pPr>
    </w:p>
    <w:tbl>
      <w:tblPr>
        <w:tblW w:w="8789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E92A98" w14:paraId="2943CEB1" w14:textId="77777777">
        <w:tc>
          <w:tcPr>
            <w:tcW w:w="8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85865" w14:textId="150F55DA" w:rsidR="00E92A98" w:rsidRDefault="00AA4375">
            <w:pPr>
              <w:ind w:firstLine="720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>Gyventojui taikytinas MNPD = 4 800 – 0,18 × (GMP – 12 × 642).“</w:t>
            </w:r>
          </w:p>
        </w:tc>
      </w:tr>
    </w:tbl>
    <w:p w14:paraId="295D3864" w14:textId="30DE27FC" w:rsidR="00E92A98" w:rsidRDefault="00E92A98">
      <w:pPr>
        <w:ind w:firstLine="720"/>
        <w:jc w:val="both"/>
        <w:rPr>
          <w:bCs/>
          <w:szCs w:val="24"/>
        </w:rPr>
      </w:pPr>
    </w:p>
    <w:p w14:paraId="784910DE" w14:textId="28F993FF" w:rsidR="00E92A98" w:rsidRDefault="00AA4375">
      <w:pPr>
        <w:tabs>
          <w:tab w:val="left" w:pos="1134"/>
        </w:tabs>
        <w:ind w:firstLine="720"/>
        <w:jc w:val="both"/>
        <w:rPr>
          <w:bCs/>
          <w:szCs w:val="24"/>
        </w:rPr>
      </w:pPr>
      <w:r>
        <w:rPr>
          <w:color w:val="000000"/>
          <w:szCs w:val="24"/>
        </w:rPr>
        <w:t>2.</w:t>
      </w:r>
      <w:r w:rsidR="007237CA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Pakeisti </w:t>
      </w:r>
      <w:r>
        <w:rPr>
          <w:bCs/>
          <w:szCs w:val="24"/>
        </w:rPr>
        <w:t>20 straipsnio 2 dalį ir ją išdėstyti taip:</w:t>
      </w:r>
    </w:p>
    <w:p w14:paraId="26190BDC" w14:textId="77777777" w:rsidR="00E92A98" w:rsidRDefault="00AA4375">
      <w:pPr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„2. Jeigu šio straipsnio 6 dalyje nenustatyta kitaip, NPD mokestiniu laikotarpiu taikomas tokia tvarka:</w:t>
      </w:r>
    </w:p>
    <w:p w14:paraId="29E8D076" w14:textId="1EE29B8F" w:rsidR="00E92A98" w:rsidRDefault="00AA4375">
      <w:pPr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1) gyventojui, kurio su darbo santykiais arba jų esmę atitinkančiais santykiais susijusios pajamos per mėnesį neviršija minimaliosios mėnesinės algos, galiojusios einamųjų kalendorinių metų sausio 1 dieną, vieno dydžio, taikomas mėnesio NPD yra 747 eurai;</w:t>
      </w:r>
    </w:p>
    <w:p w14:paraId="63921B07" w14:textId="26CC3B2D" w:rsidR="00E92A98" w:rsidRDefault="00AA4375">
      <w:pPr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2) gyventojui, kurio su darbo santykiais arba jų esmę atitinkančiais santykiais susijusios pajamos per mėnesį viršija minimaliosios mėnesinės algos, galiojusios einamųjų kalendorinių metų sausio 1 dieną, vieną dydį, tačiau neviršija </w:t>
      </w:r>
      <w:r>
        <w:t>2 387,29</w:t>
      </w:r>
      <w:r>
        <w:rPr>
          <w:color w:val="000000"/>
          <w:szCs w:val="24"/>
        </w:rPr>
        <w:t xml:space="preserve"> eurų, taikytinas mėnesio NPD apskaičiuojamas pagal šią formulę:</w:t>
      </w:r>
    </w:p>
    <w:p w14:paraId="7723C56A" w14:textId="77777777" w:rsidR="00E92A98" w:rsidRDefault="00E92A98">
      <w:pPr>
        <w:ind w:firstLine="720"/>
        <w:jc w:val="both"/>
        <w:rPr>
          <w:color w:val="000000"/>
          <w:szCs w:val="24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E92A98" w14:paraId="2AC1D56C" w14:textId="77777777"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96699" w14:textId="3EBAAAE8" w:rsidR="00E92A98" w:rsidRDefault="00AA4375">
            <w:pPr>
              <w:ind w:firstLine="720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Gyventojui taikytinas mėnesio NPD = 747 – 0,49 × (gyventojo mėnesio su darbo santykiais arba jų esmę atitinkančiais santykiais susijusios pajamos – minimaliosios mėnesinės algos, galiojusios einamųjų kalendorinių metų sausio 1 dieną, vienas dydis);</w:t>
            </w:r>
          </w:p>
        </w:tc>
      </w:tr>
    </w:tbl>
    <w:p w14:paraId="692561E7" w14:textId="0406EED7" w:rsidR="00E92A98" w:rsidRDefault="00E92A98">
      <w:pPr>
        <w:ind w:firstLine="720"/>
        <w:jc w:val="both"/>
        <w:rPr>
          <w:color w:val="000000"/>
          <w:szCs w:val="24"/>
        </w:rPr>
      </w:pPr>
    </w:p>
    <w:p w14:paraId="5A29DAAB" w14:textId="649C0DA3" w:rsidR="00E92A98" w:rsidRDefault="00AA4375">
      <w:pPr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3) gyventojui, kurio su darbo santykiais arba jų esmę atitinkančiais santykiais susijusios pajamos per mėnesį viršija </w:t>
      </w:r>
      <w:r>
        <w:t xml:space="preserve">2 387,29 </w:t>
      </w:r>
      <w:r>
        <w:rPr>
          <w:color w:val="000000"/>
          <w:szCs w:val="24"/>
        </w:rPr>
        <w:t>eurus, taikytinas mėnesio NPD apskaičiuojamas pagal šią formulę:</w:t>
      </w:r>
    </w:p>
    <w:p w14:paraId="12B6C6B6" w14:textId="77777777" w:rsidR="00E92A98" w:rsidRDefault="00E92A98">
      <w:pPr>
        <w:ind w:firstLine="720"/>
        <w:jc w:val="both"/>
        <w:rPr>
          <w:color w:val="000000"/>
          <w:szCs w:val="24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E92A98" w14:paraId="46F1D9FD" w14:textId="77777777">
        <w:tc>
          <w:tcPr>
            <w:tcW w:w="9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1FFE0" w14:textId="4452CF2B" w:rsidR="00E92A98" w:rsidRDefault="00AA4375">
            <w:pPr>
              <w:ind w:firstLine="720"/>
              <w:jc w:val="both"/>
              <w:rPr>
                <w:szCs w:val="24"/>
              </w:rPr>
            </w:pPr>
            <w:r>
              <w:rPr>
                <w:szCs w:val="24"/>
              </w:rPr>
              <w:t>Gyventojui taikytinas mėnesio NPD = 400 – 0,18 × (gyventojo mėnesio su darbo santykiais arba jų esmę atitinkančiais santykiais susijusios pajamos – 642).“</w:t>
            </w:r>
          </w:p>
        </w:tc>
      </w:tr>
    </w:tbl>
    <w:p w14:paraId="47449FCB" w14:textId="69F4CBB8" w:rsidR="00E92A98" w:rsidRDefault="00E92A98">
      <w:pPr>
        <w:ind w:firstLine="720"/>
        <w:jc w:val="both"/>
        <w:rPr>
          <w:bCs/>
          <w:szCs w:val="24"/>
        </w:rPr>
      </w:pPr>
    </w:p>
    <w:p w14:paraId="2EB30344" w14:textId="09AF6905" w:rsidR="00E92A98" w:rsidRDefault="00AA4375">
      <w:pPr>
        <w:tabs>
          <w:tab w:val="left" w:pos="1134"/>
        </w:tabs>
        <w:ind w:firstLine="720"/>
        <w:jc w:val="both"/>
        <w:rPr>
          <w:bCs/>
          <w:szCs w:val="24"/>
        </w:rPr>
      </w:pPr>
      <w:r>
        <w:rPr>
          <w:bCs/>
          <w:szCs w:val="24"/>
        </w:rPr>
        <w:t>3.</w:t>
      </w:r>
      <w:r w:rsidR="007237CA">
        <w:rPr>
          <w:bCs/>
          <w:szCs w:val="24"/>
        </w:rPr>
        <w:t xml:space="preserve"> </w:t>
      </w:r>
      <w:r>
        <w:rPr>
          <w:bCs/>
          <w:szCs w:val="24"/>
        </w:rPr>
        <w:t>Pakeisti 20 straipsnio 6 dalį ir ją išdėstyti taip:</w:t>
      </w:r>
    </w:p>
    <w:p w14:paraId="19E2F16C" w14:textId="295C8DF4" w:rsidR="00E92A98" w:rsidRDefault="00AA4375">
      <w:pPr>
        <w:ind w:firstLine="720"/>
        <w:jc w:val="both"/>
        <w:rPr>
          <w:bCs/>
          <w:szCs w:val="24"/>
        </w:rPr>
      </w:pPr>
      <w:r>
        <w:rPr>
          <w:color w:val="000000"/>
          <w:szCs w:val="24"/>
        </w:rPr>
        <w:t xml:space="preserve">„6. Asmenims, kuriems nustatytas 0–25 procentų </w:t>
      </w:r>
      <w:proofErr w:type="spellStart"/>
      <w:r>
        <w:rPr>
          <w:color w:val="000000"/>
          <w:szCs w:val="24"/>
        </w:rPr>
        <w:t>dalyvumo</w:t>
      </w:r>
      <w:proofErr w:type="spellEnd"/>
      <w:r>
        <w:rPr>
          <w:color w:val="000000"/>
          <w:szCs w:val="24"/>
        </w:rPr>
        <w:t xml:space="preserve"> lygis </w:t>
      </w:r>
      <w:r>
        <w:rPr>
          <w:szCs w:val="24"/>
        </w:rPr>
        <w:t>(iki 2023 m. gruodžio 31 d. nustatytas 0</w:t>
      </w:r>
      <w:r>
        <w:rPr>
          <w:color w:val="000000"/>
          <w:szCs w:val="24"/>
        </w:rPr>
        <w:t>–</w:t>
      </w:r>
      <w:r>
        <w:rPr>
          <w:szCs w:val="24"/>
        </w:rPr>
        <w:t xml:space="preserve">25 procentų darbingumo lygis arba didelių specialiųjų poreikių lygis), </w:t>
      </w:r>
      <w:r>
        <w:rPr>
          <w:color w:val="000000"/>
          <w:szCs w:val="24"/>
        </w:rPr>
        <w:t xml:space="preserve">arba asmenims, kuriems teisės aktų nustatyta tvarka yra nustatytas sunkus neįgalumo lygis, taikomas mėnesio NPD yra </w:t>
      </w:r>
      <w:r>
        <w:rPr>
          <w:szCs w:val="24"/>
        </w:rPr>
        <w:t>1 127</w:t>
      </w:r>
      <w:r w:rsidR="007237CA">
        <w:rPr>
          <w:szCs w:val="24"/>
        </w:rPr>
        <w:t xml:space="preserve"> </w:t>
      </w:r>
      <w:r>
        <w:rPr>
          <w:szCs w:val="24"/>
        </w:rPr>
        <w:t>eurai</w:t>
      </w:r>
      <w:r>
        <w:rPr>
          <w:color w:val="000000"/>
          <w:szCs w:val="24"/>
        </w:rPr>
        <w:t xml:space="preserve">. Asmenims, kuriems nustatytas 30–55 procentų </w:t>
      </w:r>
      <w:proofErr w:type="spellStart"/>
      <w:r>
        <w:rPr>
          <w:color w:val="000000"/>
          <w:szCs w:val="24"/>
        </w:rPr>
        <w:t>dalyvumo</w:t>
      </w:r>
      <w:proofErr w:type="spellEnd"/>
      <w:r>
        <w:rPr>
          <w:color w:val="000000"/>
          <w:szCs w:val="24"/>
        </w:rPr>
        <w:t xml:space="preserve"> lygis </w:t>
      </w:r>
      <w:r>
        <w:rPr>
          <w:szCs w:val="24"/>
        </w:rPr>
        <w:t xml:space="preserve">(iki 2023 m. gruodžio 31 d. nustatytas 30–55 proc. darbingumo lygis arba vidutinių ar nedidelių specialiųjų poreikių lygis), </w:t>
      </w:r>
      <w:r>
        <w:rPr>
          <w:color w:val="000000"/>
          <w:szCs w:val="24"/>
        </w:rPr>
        <w:t xml:space="preserve">arba asmenims, kuriems teisės aktų nustatyta tvarka yra nustatytas vidutinis ar lengvas neįgalumo lygis, taikomas mėnesio NPD yra </w:t>
      </w:r>
      <w:r>
        <w:rPr>
          <w:szCs w:val="24"/>
        </w:rPr>
        <w:t>1 057 eurai</w:t>
      </w:r>
      <w:r>
        <w:rPr>
          <w:color w:val="000000"/>
          <w:szCs w:val="24"/>
        </w:rPr>
        <w:t>. Atsiradus arba pasibaigus teisei į šioje dalyje nurodytą mėnesio NPD, šis dydis pradedamas arba nustojamas taikyti nuo kitą, negu atsirado arba pasibaigė teisė į jį, mėnesį gautų pajamų. Šioje dalyje nurodytiems gyventojams taikytina MNPD suma yra lygi jiems pagal šios dalies nuostatas atitinkamais mokestinio laikotarpio mėnesiais taikytinų NPD sumai, pridėjus pagal šio straipsnio 1 dalį šiems gyventojams apskaičiuotą MNPD dalį, proporcingą mokestinio laikotarpio mėnesių, kuriais jie neturėjo teisės į NPD pagal šios dalies nuostatas, skaičiui.“</w:t>
      </w:r>
    </w:p>
    <w:p w14:paraId="1DEFF6FC" w14:textId="4852ECA7" w:rsidR="00E92A98" w:rsidRDefault="00E92A98">
      <w:pPr>
        <w:tabs>
          <w:tab w:val="left" w:pos="1134"/>
        </w:tabs>
        <w:ind w:right="-50" w:firstLine="709"/>
        <w:jc w:val="both"/>
        <w:rPr>
          <w:bCs/>
          <w:szCs w:val="24"/>
        </w:rPr>
      </w:pPr>
    </w:p>
    <w:p w14:paraId="4FD95822" w14:textId="0C035F57" w:rsidR="00E92A98" w:rsidRDefault="00AA4375">
      <w:pPr>
        <w:tabs>
          <w:tab w:val="left" w:pos="709"/>
          <w:tab w:val="left" w:pos="993"/>
        </w:tabs>
        <w:ind w:firstLine="720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>3 straipsnis. Įstatymo įsigaliojimas, įgyvendinimas ir taikymas</w:t>
      </w:r>
    </w:p>
    <w:p w14:paraId="6016F009" w14:textId="3EBDCA9C" w:rsidR="00E92A98" w:rsidRDefault="00AA4375">
      <w:pPr>
        <w:tabs>
          <w:tab w:val="left" w:pos="709"/>
          <w:tab w:val="left" w:pos="993"/>
        </w:tabs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1. Šis įstatymas įsigalioja 2025 m. sausio 1 d. ir taikomas apskaičiuojant ir deklaruojant 2025 metų ir vėlesnių mokestinių laikotarpių pajamas.</w:t>
      </w:r>
    </w:p>
    <w:p w14:paraId="6B036162" w14:textId="28ACF5E2" w:rsidR="00E92A98" w:rsidRDefault="00AA4375">
      <w:pPr>
        <w:tabs>
          <w:tab w:val="left" w:pos="709"/>
          <w:tab w:val="left" w:pos="993"/>
        </w:tabs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2. Centrinis mokesčių administratorius iki 2024 m. gruodžio 31 d. priima šio įstatymo įgyvendinamuosius teisės aktus.</w:t>
      </w:r>
    </w:p>
    <w:p w14:paraId="7BBBDDD1" w14:textId="544BDAE1" w:rsidR="00E92A98" w:rsidRDefault="00E92A98">
      <w:pPr>
        <w:spacing w:line="276" w:lineRule="auto"/>
        <w:ind w:firstLine="720"/>
        <w:jc w:val="both"/>
        <w:rPr>
          <w:i/>
          <w:szCs w:val="24"/>
        </w:rPr>
      </w:pPr>
    </w:p>
    <w:p w14:paraId="71398672" w14:textId="7D18CFB6" w:rsidR="00E92A98" w:rsidRDefault="00AA4375">
      <w:pPr>
        <w:spacing w:line="276" w:lineRule="auto"/>
        <w:ind w:firstLine="720"/>
        <w:jc w:val="both"/>
        <w:rPr>
          <w:i/>
          <w:szCs w:val="24"/>
        </w:rPr>
      </w:pPr>
      <w:r>
        <w:rPr>
          <w:i/>
          <w:szCs w:val="24"/>
        </w:rPr>
        <w:t>Skelbiu šį Lietuvos Respublikos Seimo priimtą įstatymą.</w:t>
      </w:r>
    </w:p>
    <w:p w14:paraId="46E7B66E" w14:textId="77777777" w:rsidR="00E92A98" w:rsidRDefault="00E92A98">
      <w:pPr>
        <w:tabs>
          <w:tab w:val="right" w:pos="9356"/>
        </w:tabs>
        <w:spacing w:line="276" w:lineRule="auto"/>
        <w:rPr>
          <w:szCs w:val="24"/>
        </w:rPr>
      </w:pPr>
    </w:p>
    <w:p w14:paraId="424E6CE8" w14:textId="77777777" w:rsidR="00E92A98" w:rsidRDefault="00E92A98">
      <w:pPr>
        <w:tabs>
          <w:tab w:val="right" w:pos="9356"/>
        </w:tabs>
        <w:spacing w:line="276" w:lineRule="auto"/>
        <w:rPr>
          <w:szCs w:val="24"/>
        </w:rPr>
      </w:pPr>
    </w:p>
    <w:p w14:paraId="55B4DD0B" w14:textId="77777777" w:rsidR="00E92A98" w:rsidRDefault="00E92A98">
      <w:pPr>
        <w:tabs>
          <w:tab w:val="right" w:pos="9356"/>
        </w:tabs>
        <w:spacing w:line="276" w:lineRule="auto"/>
        <w:rPr>
          <w:szCs w:val="24"/>
        </w:rPr>
      </w:pPr>
    </w:p>
    <w:p w14:paraId="1690C3E5" w14:textId="6EA5625D" w:rsidR="00E92A98" w:rsidRDefault="00AA4375">
      <w:pPr>
        <w:spacing w:line="276" w:lineRule="auto"/>
        <w:rPr>
          <w:szCs w:val="24"/>
        </w:rPr>
      </w:pPr>
      <w:proofErr w:type="spellStart"/>
      <w:r>
        <w:rPr>
          <w:szCs w:val="24"/>
          <w:lang w:val="en-US"/>
        </w:rPr>
        <w:t>Respublikos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Prezidentas</w:t>
      </w:r>
      <w:proofErr w:type="spellEnd"/>
    </w:p>
    <w:sectPr w:rsidR="00E92A98">
      <w:pgSz w:w="11906" w:h="16838"/>
      <w:pgMar w:top="1276" w:right="991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296"/>
  <w:hyphenationZone w:val="396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55"/>
    <w:rsid w:val="000E1D55"/>
    <w:rsid w:val="005934D1"/>
    <w:rsid w:val="007237CA"/>
    <w:rsid w:val="009339BD"/>
    <w:rsid w:val="00AA4375"/>
    <w:rsid w:val="00E8133E"/>
    <w:rsid w:val="00E92A98"/>
    <w:rsid w:val="00F8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AA66"/>
  <w15:docId w15:val="{FCA67F98-708D-43AD-B796-944A714E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rsid w:val="007237CA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semiHidden/>
    <w:unhideWhenUsed/>
    <w:rsid w:val="00E8133E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semiHidden/>
    <w:rsid w:val="00E81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
<Relationships xmlns="http://schemas.openxmlformats.org/package/2006/relationships"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5991</Words>
  <Characters>3416</Characters>
  <Application>Microsoft Office Word</Application>
  <DocSecurity>0</DocSecurity>
  <Lines>28</Lines>
  <Paragraphs>18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2024-11-12T07:18:00Z</dcterms:created>
  <dc:creator>Živilė Kvedytė</dc:creator>
  <lastModifiedBy>MUDĖNIENĖ Dalia</lastModifiedBy>
  <dcterms:modified xsi:type="dcterms:W3CDTF">2024-11-13T12:39:00Z</dcterms:modified>
  <revision>7</revision>
</coreProperties>
</file>