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Calibri" w:hAnsi="Calibri"/>
          <w:b/>
          <w:color w:val="1F497D"/>
          <w:sz w:val="48"/>
        </w:rPr>
        <w:t>Plan de Migración y Control en ROS 2</w:t>
      </w:r>
    </w:p>
    <w:p>
      <w:r>
        <w:rPr>
          <w:rFonts w:ascii="Calibri" w:hAnsi="Calibri"/>
          <w:i/>
          <w:color w:val="595959"/>
          <w:sz w:val="26"/>
        </w:rPr>
        <w:t>UGV Voyager 3 — Arquitectura de Tópicos, MAVROS 2, Navegación Nav2 y Gemelo Digital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1. Justificación de la Migración a ROS 2</w:t>
      </w:r>
    </w:p>
    <w:p>
      <w:r>
        <w:t>El sistema operativo actual (Raspbian Stretch de 32 bits, 2018) representa un cuello de botella insalvable para la robótica moderna. No admite ROS 2 ni librerías actuales de Python 3. La migración a Ubuntu Server 22.04 LTS (64-bit arm64) con ROS 2 Humble permite integrar el vehículo en pipelines de navegación autónoma (Nav2), percepción con LiDAR 360° y validación previa en entornos de simulación física.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2. Arquitectura de Integración MAVROS 2</w:t>
      </w:r>
    </w:p>
    <w:p>
      <w:r>
        <w:t>La Raspberry Pi se comunicará con la Pixhawk por el puerto serie UART /dev/ttyAMA0 a 921.600 bps mediante el nodo mavros. Esto expone todos los sensores y actuadores como tópicos estándar de ROS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Tópico de ROS 2</w:t>
            </w:r>
          </w:p>
        </w:tc>
        <w:tc>
          <w:tcPr>
            <w:tcW w:type="dxa" w:w="3168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Mensaje</w:t>
            </w:r>
          </w:p>
        </w:tc>
        <w:tc>
          <w:tcPr>
            <w:tcW w:type="dxa" w:w="2880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Función / Flujo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/cmd_vel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geometry_msgs/msg/Twist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Entrada de teleoperación o navegación autónoma (velocidad lineal y angular).</w:t>
            </w:r>
          </w:p>
        </w:tc>
      </w:tr>
      <w:tr>
        <w:tc>
          <w:tcPr>
            <w:tcW w:type="dxa" w:w="3600"/>
            <w:shd w:fill="F9FA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/mavros/imu/data</w:t>
            </w:r>
          </w:p>
        </w:tc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sensor_msgs/msg/Imu</w:t>
            </w:r>
          </w:p>
        </w:tc>
        <w:tc>
          <w:tcPr>
            <w:tcW w:type="dxa" w:w="2880"/>
            <w:shd w:fill="F9FA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Datos inerciales filtrados de la Pixhawk (50 Hz).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/mavros/battery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sensor_msgs/msg/BatteryState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Monitoreo de voltaje, corriente y nivel de carga de la batería.</w:t>
            </w:r>
          </w:p>
        </w:tc>
      </w:tr>
      <w:tr>
        <w:tc>
          <w:tcPr>
            <w:tcW w:type="dxa" w:w="3600"/>
            <w:shd w:fill="F9FA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/mavros/global_position/raw/fix</w:t>
            </w:r>
          </w:p>
        </w:tc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sensor_msgs/msg/NavSatFix</w:t>
            </w:r>
          </w:p>
        </w:tc>
        <w:tc>
          <w:tcPr>
            <w:tcW w:type="dxa" w:w="2880"/>
            <w:shd w:fill="F9FAFB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Coordenadas satelitales GPS en vivo.</w:t>
            </w:r>
          </w:p>
        </w:tc>
      </w:tr>
      <w:tr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/scan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sensor_msgs/msg/LaserScan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Barrido 360° del LiDAR LightWare SF40 para algoritmos de SLAM.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3. Simulación y Transferencia Sim-to-Real</w:t>
      </w:r>
    </w:p>
    <w:p>
      <w:r>
        <w:t>Al disponer del modelo cinemático Ackermann (radio de giro, límites de dirección 1100-1900 us) y las características del LiDAR, el vehículo puede ser simulado fielmente en entornos de simulación de robótica para validar trayectorias antes de la ejecución física.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