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11AF2" w:rsidRPr="00BB3F8A" w:rsidRDefault="00111AF2" w:rsidP="00111AF2">
      <w:pPr>
        <w:pStyle w:val="Encabezado"/>
        <w:jc w:val="center"/>
        <w:rPr>
          <w:rFonts w:ascii="Arial" w:hAnsi="Arial" w:cs="Arial"/>
          <w:b/>
          <w:color w:val="000000"/>
          <w:sz w:val="24"/>
          <w:szCs w:val="24"/>
        </w:rPr>
      </w:pPr>
      <w:r>
        <w:rPr>
          <w:noProof/>
          <w:lang w:val="es-CO" w:eastAsia="es-CO"/>
        </w:rPr>
        <w:drawing>
          <wp:anchor distT="0" distB="0" distL="114300" distR="114300" simplePos="0" relativeHeight="251659264" behindDoc="0" locked="0" layoutInCell="1" allowOverlap="1">
            <wp:simplePos x="0" y="0"/>
            <wp:positionH relativeFrom="margin">
              <wp:posOffset>-41910</wp:posOffset>
            </wp:positionH>
            <wp:positionV relativeFrom="paragraph">
              <wp:posOffset>0</wp:posOffset>
            </wp:positionV>
            <wp:extent cx="850900" cy="1050925"/>
            <wp:effectExtent l="0" t="0" r="6350" b="0"/>
            <wp:wrapThrough wrapText="bothSides">
              <wp:wrapPolygon edited="0">
                <wp:start x="8704" y="392"/>
                <wp:lineTo x="5803" y="1566"/>
                <wp:lineTo x="0" y="5873"/>
                <wp:lineTo x="0" y="14879"/>
                <wp:lineTo x="6287" y="19969"/>
                <wp:lineTo x="7737" y="20752"/>
                <wp:lineTo x="13540" y="20752"/>
                <wp:lineTo x="14991" y="19969"/>
                <wp:lineTo x="21278" y="14879"/>
                <wp:lineTo x="21278" y="5873"/>
                <wp:lineTo x="14991" y="1566"/>
                <wp:lineTo x="12090" y="392"/>
                <wp:lineTo x="8704" y="392"/>
              </wp:wrapPolygon>
            </wp:wrapThrough>
            <wp:docPr id="1" name="Imagen 1" descr="Descripción: http://gimnasiocervantes.com/images/escud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 Imagen" descr="Descripción: http://gimnasiocervantes.com/images/escudo.gif"/>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850900" cy="10509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BB3F8A">
        <w:rPr>
          <w:rFonts w:ascii="Arial" w:hAnsi="Arial" w:cs="Arial"/>
          <w:b/>
          <w:color w:val="000000"/>
          <w:sz w:val="24"/>
          <w:szCs w:val="24"/>
        </w:rPr>
        <w:t>GIMNASIO CERVANTES SCHOOL</w:t>
      </w:r>
    </w:p>
    <w:p w:rsidR="00111AF2" w:rsidRPr="00BB3F8A" w:rsidRDefault="00111AF2" w:rsidP="00111AF2">
      <w:pPr>
        <w:pStyle w:val="Encabezado"/>
        <w:jc w:val="center"/>
        <w:rPr>
          <w:rFonts w:ascii="Arial" w:hAnsi="Arial" w:cs="Arial"/>
          <w:b/>
          <w:color w:val="000000"/>
          <w:sz w:val="24"/>
          <w:szCs w:val="24"/>
        </w:rPr>
      </w:pPr>
      <w:r w:rsidRPr="00BB3F8A">
        <w:rPr>
          <w:rFonts w:ascii="Arial" w:hAnsi="Arial" w:cs="Arial"/>
          <w:b/>
          <w:color w:val="000000"/>
          <w:sz w:val="24"/>
          <w:szCs w:val="24"/>
        </w:rPr>
        <w:t>SERES HUMANOS APRENDIENTES INTRAPERSONALES E INTERPERSONALES PARA CONSTRUIR LA SOCIEDAD DEL SIGLO XXI</w:t>
      </w:r>
    </w:p>
    <w:p w:rsidR="00111AF2" w:rsidRPr="00111AF2" w:rsidRDefault="00111AF2" w:rsidP="006A6800">
      <w:pPr>
        <w:jc w:val="both"/>
        <w:rPr>
          <w:lang w:val="es-ES"/>
        </w:rPr>
      </w:pPr>
    </w:p>
    <w:p w:rsidR="00111AF2" w:rsidRDefault="00111AF2" w:rsidP="006A6800">
      <w:pPr>
        <w:jc w:val="both"/>
      </w:pPr>
      <w:r w:rsidRPr="00111AF2">
        <w:rPr>
          <w:b/>
        </w:rPr>
        <w:t>Objetivo:</w:t>
      </w:r>
      <w:r>
        <w:t xml:space="preserve"> Unificar conceptos básicos contables.</w:t>
      </w:r>
    </w:p>
    <w:p w:rsidR="00111AF2" w:rsidRDefault="00111AF2" w:rsidP="006A6800">
      <w:pPr>
        <w:jc w:val="both"/>
      </w:pPr>
      <w:r>
        <w:t>VOCABULARIO BASICO PARA MANEJO DE CUENTAS CONTABLES</w:t>
      </w:r>
    </w:p>
    <w:p w:rsidR="00111AF2" w:rsidRPr="00111AF2" w:rsidRDefault="00111AF2" w:rsidP="006A6800">
      <w:pPr>
        <w:jc w:val="both"/>
        <w:rPr>
          <w:b/>
        </w:rPr>
      </w:pPr>
      <w:r>
        <w:rPr>
          <w:b/>
        </w:rPr>
        <w:t xml:space="preserve">1 </w:t>
      </w:r>
      <w:r w:rsidRPr="00111AF2">
        <w:rPr>
          <w:b/>
        </w:rPr>
        <w:t>ACTIVO</w:t>
      </w:r>
    </w:p>
    <w:p w:rsidR="00111AF2" w:rsidRDefault="00111AF2" w:rsidP="006A6800">
      <w:pPr>
        <w:jc w:val="both"/>
      </w:pPr>
      <w:r w:rsidRPr="00111AF2">
        <w:t>Agrupa el conjunto de las cuentas que representan los bienes y derechos tangibles e intangibles de propiedad del ente económico, que en la medida de su utilización, son fuente potencial de beneficios presentes o futuros. Comprende los siguientes grupos: el disponible, las inversiones, los deudores, los inventarios, las propiedades, planta y equipo, los intangibles, los diferidos, los otros activos y las valorizaciones.</w:t>
      </w:r>
    </w:p>
    <w:p w:rsidR="00111AF2" w:rsidRDefault="00111AF2" w:rsidP="006A6800">
      <w:pPr>
        <w:jc w:val="both"/>
      </w:pPr>
      <w:r>
        <w:t>11 DISPONIBLE</w:t>
      </w:r>
    </w:p>
    <w:p w:rsidR="00111AF2" w:rsidRDefault="00111AF2" w:rsidP="006A6800">
      <w:pPr>
        <w:jc w:val="both"/>
      </w:pPr>
      <w:r w:rsidRPr="00111AF2">
        <w:t>Comprende las cuentas que registran los recursos de liquidez inmediata, total o parcial con que cuenta el ente económico y puede utilizar para fines generales o específicos, dentro de los cuales podemos mencionar la caja, los depósitos en bancos y otras entidades financieras, las remesas en tránsito y los fondos</w:t>
      </w:r>
      <w:r>
        <w:t>.</w:t>
      </w:r>
    </w:p>
    <w:p w:rsidR="00111AF2" w:rsidRDefault="00111AF2" w:rsidP="006A6800">
      <w:pPr>
        <w:jc w:val="both"/>
      </w:pPr>
      <w:r>
        <w:t>12 INVERSIONES</w:t>
      </w:r>
    </w:p>
    <w:p w:rsidR="00111AF2" w:rsidRDefault="00111AF2" w:rsidP="006A6800">
      <w:pPr>
        <w:jc w:val="both"/>
      </w:pPr>
      <w:r w:rsidRPr="00111AF2">
        <w:t>Comprende las cuentas que registran las inversiones en acciones, cuotas o partes de interés social, títulos valores, papeles comerciales o cualquier otro documento negociable adquirido por el ente económico con carácter temporal o permanente, con la finalidad de mantener una reserva secundaria de liquidez, establecer relaciones económicas con otras entidades o para cumplir con disposiciones legales o reglamentarias.</w:t>
      </w:r>
    </w:p>
    <w:p w:rsidR="00111AF2" w:rsidRDefault="00111AF2" w:rsidP="006A6800">
      <w:pPr>
        <w:jc w:val="both"/>
      </w:pPr>
      <w:r>
        <w:t>13 DEUDORES</w:t>
      </w:r>
    </w:p>
    <w:p w:rsidR="00111AF2" w:rsidRDefault="00111AF2" w:rsidP="00111AF2">
      <w:pPr>
        <w:jc w:val="both"/>
      </w:pPr>
      <w:r>
        <w:t>Comprende el valor de las deudas a cargo de terceros y a favor del ente económico, incluidas la</w:t>
      </w:r>
      <w:r>
        <w:t>s comerciales y no comerciales.</w:t>
      </w:r>
    </w:p>
    <w:p w:rsidR="00111AF2" w:rsidRDefault="00111AF2" w:rsidP="00111AF2">
      <w:pPr>
        <w:jc w:val="both"/>
      </w:pPr>
      <w:r>
        <w:t>De este grupo hacen parte, entre otras, las siguientes cuentas: clientes, cuentas corrientes comerciales, cuentas por cobrar a casa matriz, cuentas por cobrar a vinculados económicos, cuentas por cobrar a socios y accionistas, aportes por cobrar, anticipos y avances, cuentas de operación conjunta, depósitos y promesas de compraventa.</w:t>
      </w:r>
    </w:p>
    <w:p w:rsidR="00111AF2" w:rsidRDefault="00111AF2" w:rsidP="00111AF2">
      <w:pPr>
        <w:jc w:val="both"/>
      </w:pPr>
    </w:p>
    <w:p w:rsidR="00111AF2" w:rsidRDefault="00111AF2" w:rsidP="00111AF2">
      <w:pPr>
        <w:jc w:val="both"/>
      </w:pPr>
      <w:r>
        <w:lastRenderedPageBreak/>
        <w:t>14 INVENTARIOS</w:t>
      </w:r>
    </w:p>
    <w:p w:rsidR="00111AF2" w:rsidRDefault="00111AF2" w:rsidP="00111AF2">
      <w:pPr>
        <w:jc w:val="both"/>
      </w:pPr>
      <w:r>
        <w:t>Comprende todos aquellos artículos, materiales, suministros, productos y recursos renovables y no renovables, para ser utilizados en procesos de transformación, consumo, alquiler o venta dentro de las actividades propias del giro ordinario de l</w:t>
      </w:r>
      <w:r>
        <w:t>os negocios del ente económico.</w:t>
      </w:r>
    </w:p>
    <w:p w:rsidR="00111AF2" w:rsidRDefault="00111AF2" w:rsidP="00111AF2">
      <w:pPr>
        <w:jc w:val="both"/>
      </w:pPr>
      <w:r>
        <w:t>Se incorporan entre otras las siguientes cuentas: materias primas, productos en proceso, obras de construcción en curso, cultivos en desarrollo, productos terminados, semovientes, materiales, repuestos y accesorios, así como inventarios en tránsito.</w:t>
      </w:r>
    </w:p>
    <w:p w:rsidR="00111AF2" w:rsidRDefault="00111AF2" w:rsidP="00111AF2">
      <w:pPr>
        <w:jc w:val="both"/>
      </w:pPr>
      <w:r>
        <w:t>15 PROPIEDADES, PLANTA Y EQUIPO</w:t>
      </w:r>
    </w:p>
    <w:p w:rsidR="00111AF2" w:rsidRDefault="00111AF2" w:rsidP="00111AF2">
      <w:pPr>
        <w:jc w:val="both"/>
      </w:pPr>
      <w:r w:rsidRPr="00111AF2">
        <w:t>Comprende el conjunto de las cuentas que registran los bienes de cualquier naturaleza que posea el ente económico, con la intención de emplearlos en forma permanente para el desarrollo del giro normal de sus negocios o que se poseen por el apoyo que prestan en la producción de bienes y servicios, por definición no destinados para la venta en el curso normal de los negocios y cuya vida útil exceda de un año</w:t>
      </w:r>
    </w:p>
    <w:p w:rsidR="00CA02E9" w:rsidRDefault="006A6800" w:rsidP="006A6800">
      <w:pPr>
        <w:jc w:val="both"/>
      </w:pPr>
      <w:r>
        <w:t>16 INTANGIBLES</w:t>
      </w:r>
    </w:p>
    <w:p w:rsidR="006A6800" w:rsidRDefault="006A6800" w:rsidP="006A6800">
      <w:pPr>
        <w:jc w:val="both"/>
      </w:pPr>
      <w:r>
        <w:t>Comprende el conjunto de bienes inmateriales, representados en derechos, privilegios o ventajas de competencia que son valiosos porque contribuyen a un aumento en ingresos o utilidades por medio de su empleo en el ente económico; estos derechos se compran o se desarrollan en el curso normal de los negocios.</w:t>
      </w:r>
    </w:p>
    <w:p w:rsidR="006A6800" w:rsidRDefault="006A6800" w:rsidP="006A6800">
      <w:pPr>
        <w:jc w:val="both"/>
      </w:pPr>
      <w:r>
        <w:t xml:space="preserve">Dentro de este grupo se incluyen conceptos tales como: crédito mercantil, marcas, patentes, concesiones y franquicias, derechos, </w:t>
      </w:r>
      <w:proofErr w:type="spellStart"/>
      <w:r>
        <w:t>know</w:t>
      </w:r>
      <w:proofErr w:type="spellEnd"/>
      <w:r>
        <w:t xml:space="preserve"> </w:t>
      </w:r>
      <w:proofErr w:type="spellStart"/>
      <w:r>
        <w:t>how</w:t>
      </w:r>
      <w:proofErr w:type="spellEnd"/>
      <w:r>
        <w:t xml:space="preserve"> y licencias.</w:t>
      </w:r>
    </w:p>
    <w:p w:rsidR="006A6800" w:rsidRDefault="006A6800" w:rsidP="006A6800">
      <w:pPr>
        <w:jc w:val="both"/>
      </w:pPr>
      <w:r>
        <w:t>17 DIFERIDOS</w:t>
      </w:r>
    </w:p>
    <w:p w:rsidR="006A6800" w:rsidRDefault="006A6800" w:rsidP="006A6800">
      <w:pPr>
        <w:jc w:val="both"/>
      </w:pPr>
      <w:r>
        <w:t>Comprende el conjunto de cuentas representadas en el valor de los gastos pagados por anticipado en que incurre el ente económico en el desarrollo de su actividad, así como aquellos otros gastos comúnmente denominados cargos diferidos, que representan bienes o servicios recibidos, de los cuales se espera obtener beneficios económicos en otros períodos futuros.</w:t>
      </w:r>
    </w:p>
    <w:p w:rsidR="006A6800" w:rsidRDefault="006A6800" w:rsidP="006A6800">
      <w:pPr>
        <w:jc w:val="both"/>
      </w:pPr>
      <w:r>
        <w:t xml:space="preserve">Comprende los gastos pagados por anticipado, tales como, intereses, primas de seguro, arrendamientos, contratos de mantenimiento, honorarios, comisiones y los gastos incurridos de organización y </w:t>
      </w:r>
      <w:proofErr w:type="spellStart"/>
      <w:r>
        <w:t>preoperativos</w:t>
      </w:r>
      <w:proofErr w:type="spellEnd"/>
      <w:r>
        <w:t>, remodelaciones o adecuaciones, mejoras de oficina, estudios y proyectos, construcciones en propiedades ajenas tomadas en arrendamiento, contratos de ejecución, contribuciones y afiliaciones e impuestos diferibles.</w:t>
      </w:r>
    </w:p>
    <w:p w:rsidR="006A6800" w:rsidRDefault="006A6800" w:rsidP="006A6800">
      <w:pPr>
        <w:jc w:val="both"/>
      </w:pPr>
      <w:r>
        <w:t>18 OTROS ACTIVOS</w:t>
      </w:r>
    </w:p>
    <w:p w:rsidR="006A6800" w:rsidRDefault="006A6800" w:rsidP="006A6800">
      <w:pPr>
        <w:jc w:val="both"/>
      </w:pPr>
      <w:r w:rsidRPr="006A6800">
        <w:t>Comprende aquellos bienes para los cuales no se mantiene una cuenta individual y no es posible clasificarlos dentro de las cuentas de activo claramente definidas en el presente plan, tales como: antigüedades, pinturas, objetos de arte.</w:t>
      </w:r>
    </w:p>
    <w:p w:rsidR="006A6800" w:rsidRDefault="006A6800" w:rsidP="006A6800">
      <w:pPr>
        <w:jc w:val="both"/>
      </w:pPr>
      <w:r>
        <w:lastRenderedPageBreak/>
        <w:t>19 VALORIZACIONES</w:t>
      </w:r>
    </w:p>
    <w:p w:rsidR="006A6800" w:rsidRDefault="006A6800" w:rsidP="006A6800">
      <w:pPr>
        <w:jc w:val="both"/>
      </w:pPr>
      <w:r w:rsidRPr="006A6800">
        <w:t xml:space="preserve">Comprende la utilidad potencial (no </w:t>
      </w:r>
      <w:proofErr w:type="spellStart"/>
      <w:r w:rsidRPr="006A6800">
        <w:t>realizad|a</w:t>
      </w:r>
      <w:proofErr w:type="spellEnd"/>
      <w:r w:rsidRPr="006A6800">
        <w:t>) medida como la diferencia entre el costo en libros de las inversiones y el valor intrínseco o el de cotización en bolsa de las mismas. Para las propiedades, planta y equipo, corresponde a la diferencia entre el costo neto y el avalúo comercial; para los semovientes será la diferencia entre el costo neto en libros y el actualizado a 31 de diciembre de cada año de acuerdo con el valor dado por el Ministerio de Agricultura o por avalúo técnico</w:t>
      </w:r>
    </w:p>
    <w:p w:rsidR="006A6800" w:rsidRDefault="006A6800" w:rsidP="006A6800">
      <w:pPr>
        <w:jc w:val="both"/>
      </w:pPr>
    </w:p>
    <w:p w:rsidR="006A6800" w:rsidRPr="005C4D66" w:rsidRDefault="005C4D66" w:rsidP="006A6800">
      <w:pPr>
        <w:jc w:val="both"/>
        <w:rPr>
          <w:b/>
        </w:rPr>
      </w:pPr>
      <w:r>
        <w:rPr>
          <w:b/>
        </w:rPr>
        <w:t xml:space="preserve">2 </w:t>
      </w:r>
      <w:r w:rsidR="006A6800" w:rsidRPr="005C4D66">
        <w:rPr>
          <w:b/>
        </w:rPr>
        <w:t>PASIVO</w:t>
      </w:r>
    </w:p>
    <w:p w:rsidR="006A6800" w:rsidRDefault="006A6800" w:rsidP="006A6800">
      <w:pPr>
        <w:jc w:val="both"/>
      </w:pPr>
      <w:r>
        <w:t>Agrupa el conjunto de las cuentas que representan las obligaciones contraídas por el ente económico en desarrollo del giro ordinario de su actividad, pagaderas en dinero, bienes o en servicios.</w:t>
      </w:r>
    </w:p>
    <w:p w:rsidR="006A6800" w:rsidRDefault="006A6800" w:rsidP="006A6800">
      <w:pPr>
        <w:jc w:val="both"/>
      </w:pPr>
      <w:r>
        <w:t>Comprende las obligaciones financieras, los proveedores, las cuentas por pagar, los impuestos, gravámenes y tasas, las obligaciones laborales, los diferidos, otros pasivos, los pasivos estimados, provisiones, los bonos y papeles comerciales.</w:t>
      </w:r>
    </w:p>
    <w:p w:rsidR="006A6800" w:rsidRDefault="006A6800" w:rsidP="006A6800">
      <w:pPr>
        <w:jc w:val="both"/>
      </w:pPr>
      <w:r>
        <w:t>21 OBLIGACIONES FINANCIERAS</w:t>
      </w:r>
    </w:p>
    <w:p w:rsidR="006A6800" w:rsidRDefault="006A6800" w:rsidP="006A6800">
      <w:pPr>
        <w:jc w:val="both"/>
      </w:pPr>
      <w:r>
        <w:t>Comprende el valor de las obligaciones contraídas por el ente económico mediante la obtención de recursos provenientes de establecimientos de crédito o de otras instituciones financieras u otros entes distintos de los anteriores, del país o del exterior, también incluye los compromisos de recompra de inversiones y cartera negociada.</w:t>
      </w:r>
    </w:p>
    <w:p w:rsidR="006A6800" w:rsidRDefault="006A6800" w:rsidP="006A6800">
      <w:pPr>
        <w:jc w:val="both"/>
      </w:pPr>
      <w:r>
        <w:t>Por regla general, las obligaciones contraídas generan intereses y otros rendimientos a favor del acreedor y a cargo del deudor por virtud del crédito otorgado, los cuales se deben registrar por separado.</w:t>
      </w:r>
    </w:p>
    <w:p w:rsidR="006A6800" w:rsidRDefault="006A6800" w:rsidP="006A6800">
      <w:pPr>
        <w:jc w:val="both"/>
      </w:pPr>
      <w:r>
        <w:t>22 PROVEEDORES</w:t>
      </w:r>
    </w:p>
    <w:p w:rsidR="006A6800" w:rsidRDefault="006A6800" w:rsidP="006A6800">
      <w:pPr>
        <w:jc w:val="both"/>
      </w:pPr>
      <w:r w:rsidRPr="006A6800">
        <w:t>Comprende el valor de las obligaciones a cargo del ente económico, por concepto de la adquisición de bienes y/o servicios para la fabricación o comercialización de los productos para la venta, en desarrollo de las operaciones relacionadas directamente con la explotación del objeto social, tales como, materias primas, materiales, combustibles, suministros, contratos de obra y compra de energía.</w:t>
      </w:r>
    </w:p>
    <w:p w:rsidR="006A6800" w:rsidRDefault="005C4D66" w:rsidP="006A6800">
      <w:pPr>
        <w:jc w:val="both"/>
      </w:pPr>
      <w:r>
        <w:t>23 CUENTAS POR PAGAR</w:t>
      </w:r>
    </w:p>
    <w:p w:rsidR="005C4D66" w:rsidRDefault="005C4D66" w:rsidP="006A6800">
      <w:pPr>
        <w:jc w:val="both"/>
      </w:pPr>
      <w:r w:rsidRPr="005C4D66">
        <w:t xml:space="preserve">Comprende las obligaciones contraídas por el ente económico a favor de terceros por conceptos diferentes a los proveedores y obligaciones financieras tales como cuentas corrientes comerciales, a casa matriz, a compañías vinculadas, a contratistas, órdenes de compra por utilizar, costos y gastos por pagar, </w:t>
      </w:r>
      <w:proofErr w:type="spellStart"/>
      <w:r w:rsidRPr="005C4D66">
        <w:t>instalamentos</w:t>
      </w:r>
      <w:proofErr w:type="spellEnd"/>
      <w:r w:rsidRPr="005C4D66">
        <w:t xml:space="preserve"> por pagar, acreedores oficiales, regalías por pagar, deudas con </w:t>
      </w:r>
      <w:r w:rsidRPr="005C4D66">
        <w:lastRenderedPageBreak/>
        <w:t>accionistas o socios, dividendos o participaciones por pagar, retención en la fuente, retenciones y aportes de nómina, cuotas por devolver y acreedores varios.</w:t>
      </w:r>
    </w:p>
    <w:p w:rsidR="005C4D66" w:rsidRDefault="005C4D66" w:rsidP="006A6800">
      <w:pPr>
        <w:jc w:val="both"/>
      </w:pPr>
      <w:r>
        <w:t>24 IMPUESTOS, GRAVÁMENES Y TASAS.</w:t>
      </w:r>
    </w:p>
    <w:p w:rsidR="005C4D66" w:rsidRDefault="005C4D66" w:rsidP="005C4D66">
      <w:pPr>
        <w:jc w:val="both"/>
      </w:pPr>
      <w:r>
        <w:t xml:space="preserve">Comprende el valor de los gravámenes de </w:t>
      </w:r>
      <w:r>
        <w:t>carácter general y obligatorio</w:t>
      </w:r>
      <w:r>
        <w:t xml:space="preserve"> a favor del Estado y a cargo del ente económico por concepto de los cálculos con base en las liquidaciones privadas sobre las respectivas bases impositivas </w:t>
      </w:r>
      <w:r>
        <w:t>generadas en el período fiscal.</w:t>
      </w:r>
    </w:p>
    <w:p w:rsidR="005C4D66" w:rsidRDefault="005C4D66" w:rsidP="005C4D66">
      <w:pPr>
        <w:jc w:val="both"/>
      </w:pPr>
      <w:r>
        <w:t>Comprende entre otros los impuestos de renta y complementarios, sobre las ventas, de industria y comercio, de licores, cervezas y cigarrillos, de valorizaciones, de turismo y de hidrocarburos y minas.</w:t>
      </w:r>
    </w:p>
    <w:p w:rsidR="005C4D66" w:rsidRPr="005C4D66" w:rsidRDefault="005C4D66" w:rsidP="005C4D66">
      <w:pPr>
        <w:spacing w:after="0"/>
        <w:jc w:val="both"/>
        <w:rPr>
          <w:b/>
          <w:u w:val="single"/>
        </w:rPr>
      </w:pPr>
      <w:r w:rsidRPr="005C4D66">
        <w:rPr>
          <w:b/>
          <w:u w:val="single"/>
        </w:rPr>
        <w:t>Gravamen</w:t>
      </w:r>
    </w:p>
    <w:p w:rsidR="005C4D66" w:rsidRPr="005C4D66" w:rsidRDefault="005C4D66" w:rsidP="005C4D66">
      <w:pPr>
        <w:spacing w:after="0"/>
        <w:jc w:val="both"/>
        <w:rPr>
          <w:b/>
        </w:rPr>
      </w:pPr>
      <w:r w:rsidRPr="005C4D66">
        <w:rPr>
          <w:b/>
        </w:rPr>
        <w:t>Nombre</w:t>
      </w:r>
      <w:r w:rsidRPr="005C4D66">
        <w:rPr>
          <w:b/>
        </w:rPr>
        <w:t xml:space="preserve"> masculino</w:t>
      </w:r>
    </w:p>
    <w:p w:rsidR="005C4D66" w:rsidRPr="005C4D66" w:rsidRDefault="005C4D66" w:rsidP="005C4D66">
      <w:pPr>
        <w:spacing w:after="0"/>
        <w:jc w:val="both"/>
        <w:rPr>
          <w:b/>
        </w:rPr>
      </w:pPr>
      <w:r w:rsidRPr="005C4D66">
        <w:rPr>
          <w:b/>
        </w:rPr>
        <w:t>1. Impuesto</w:t>
      </w:r>
      <w:r w:rsidRPr="005C4D66">
        <w:rPr>
          <w:b/>
        </w:rPr>
        <w:t xml:space="preserve"> que se aplica sobre un inmueble, una propiedad o el caudal de una persona.</w:t>
      </w:r>
    </w:p>
    <w:p w:rsidR="005C4D66" w:rsidRPr="005C4D66" w:rsidRDefault="005C4D66" w:rsidP="005C4D66">
      <w:pPr>
        <w:spacing w:after="0"/>
        <w:jc w:val="both"/>
        <w:rPr>
          <w:b/>
        </w:rPr>
      </w:pPr>
      <w:r w:rsidRPr="005C4D66">
        <w:rPr>
          <w:b/>
        </w:rPr>
        <w:t>"se introduce un gravamen del 5 % del valor catastral para aquellas sociedades que posean inmuebles en nuestro país"</w:t>
      </w:r>
    </w:p>
    <w:p w:rsidR="005C4D66" w:rsidRPr="005C4D66" w:rsidRDefault="005C4D66" w:rsidP="005C4D66">
      <w:pPr>
        <w:spacing w:after="0"/>
        <w:jc w:val="both"/>
        <w:rPr>
          <w:b/>
        </w:rPr>
      </w:pPr>
      <w:r w:rsidRPr="005C4D66">
        <w:rPr>
          <w:b/>
        </w:rPr>
        <w:t xml:space="preserve">2. </w:t>
      </w:r>
      <w:r w:rsidRPr="005C4D66">
        <w:rPr>
          <w:b/>
        </w:rPr>
        <w:t>Obligación o impuesto que pesa sobre los bienes de una persona.</w:t>
      </w:r>
    </w:p>
    <w:p w:rsidR="005C4D66" w:rsidRDefault="005C4D66" w:rsidP="006A6800">
      <w:pPr>
        <w:jc w:val="both"/>
      </w:pPr>
    </w:p>
    <w:p w:rsidR="005C4D66" w:rsidRDefault="005C4D66" w:rsidP="006A6800">
      <w:pPr>
        <w:jc w:val="both"/>
      </w:pPr>
      <w:r>
        <w:t>25 OBLIGACIONES LABORALES</w:t>
      </w:r>
    </w:p>
    <w:p w:rsidR="005C4D66" w:rsidRDefault="005C4D66" w:rsidP="006A6800">
      <w:pPr>
        <w:jc w:val="both"/>
      </w:pPr>
      <w:r w:rsidRPr="005C4D66">
        <w:t>Comprende el valor de los pasivos a cargo del ente económico y a favor de los trabajadores, ex trabajadores o beneficiarios, originados en virtud de normas legales, convenciones de trabajo o pactos colectivos, tales como: salarios por pagar, cesantías consolidadas, primas de servicios, prestaciones extralegales e indemnizaciones laborales</w:t>
      </w:r>
      <w:r>
        <w:t>.</w:t>
      </w:r>
    </w:p>
    <w:p w:rsidR="005C4D66" w:rsidRDefault="005C4D66" w:rsidP="006A6800">
      <w:pPr>
        <w:jc w:val="both"/>
      </w:pPr>
      <w:r>
        <w:t>26 PASIVOS ESTIMADOS Y PROVISIONES</w:t>
      </w:r>
    </w:p>
    <w:p w:rsidR="005C4D66" w:rsidRDefault="005C4D66" w:rsidP="006A6800">
      <w:pPr>
        <w:jc w:val="both"/>
      </w:pPr>
      <w:r w:rsidRPr="005C4D66">
        <w:t>Comprende los valores provisionados por el ente económico por concepto de obligaciones para costos y gastos tales como, intereses, comisiones, honorarios, servicios, así como para atender acreencias laborales no consolidadas determinadas en virtud de la relación con sus trabajadores; igualmente para multas, sanciones, litigios, indemnizaciones, demandas, imprevistos, reparaciones y mantenimiento.</w:t>
      </w:r>
    </w:p>
    <w:p w:rsidR="002647BA" w:rsidRDefault="005C4D66" w:rsidP="005C4D66">
      <w:pPr>
        <w:jc w:val="both"/>
      </w:pPr>
      <w:r>
        <w:t>27</w:t>
      </w:r>
      <w:r w:rsidR="002647BA">
        <w:t xml:space="preserve"> DIFERIDOS</w:t>
      </w:r>
      <w:r>
        <w:t xml:space="preserve"> </w:t>
      </w:r>
    </w:p>
    <w:p w:rsidR="005C4D66" w:rsidRDefault="005C4D66" w:rsidP="005C4D66">
      <w:pPr>
        <w:jc w:val="both"/>
      </w:pPr>
      <w:r>
        <w:t>Comprende el valor de los ingresos no causados recibidos de clientes, los cuales tienen el carácter de pasivo, que debido a su origen y naturaleza han de influir económicamente en varios ejercicios, en los que debe</w:t>
      </w:r>
      <w:r>
        <w:t>n ser aplicados o distribuidos.</w:t>
      </w:r>
    </w:p>
    <w:p w:rsidR="005C4D66" w:rsidRDefault="005C4D66" w:rsidP="005C4D66">
      <w:pPr>
        <w:jc w:val="both"/>
      </w:pPr>
      <w:r>
        <w:t>Igualmente registra el monto adeudado por el reajuste a las cuotas netas, para el caso de las sociedades administradoras de consorcios comerciales, la utilidad diferida en ventas a plazos, y los impuestos diferidos.</w:t>
      </w:r>
    </w:p>
    <w:p w:rsidR="006A6800" w:rsidRDefault="002647BA" w:rsidP="006A6800">
      <w:pPr>
        <w:jc w:val="both"/>
      </w:pPr>
      <w:r>
        <w:lastRenderedPageBreak/>
        <w:t>28 OTROS PASIVOS</w:t>
      </w:r>
    </w:p>
    <w:p w:rsidR="002647BA" w:rsidRDefault="002647BA" w:rsidP="006A6800">
      <w:pPr>
        <w:jc w:val="both"/>
      </w:pPr>
      <w:r w:rsidRPr="002647BA">
        <w:t>Comprende el conjunto de cuentas que se derivan de obligaciones a cargo del ente económico, contraídas en desarrollo de actividades que por su naturaleza especial no pueden ser incluidas apropiadamente en los demás grupos del pasivo.</w:t>
      </w:r>
    </w:p>
    <w:p w:rsidR="002647BA" w:rsidRDefault="002647BA" w:rsidP="006A6800">
      <w:pPr>
        <w:jc w:val="both"/>
      </w:pPr>
      <w:r>
        <w:t>29 BONOS Y PAPELES COMERCIALES</w:t>
      </w:r>
    </w:p>
    <w:p w:rsidR="002647BA" w:rsidRDefault="002647BA" w:rsidP="006A6800">
      <w:pPr>
        <w:jc w:val="both"/>
      </w:pPr>
      <w:r w:rsidRPr="002647BA">
        <w:t>Comprende los valores recibidos por el ente económico por concepto de emisión y venta de bonos ordinarios o convertibles en acciones, así como los papeles comerciales definidos como valores de contenido crediticio emitidos por empresas comerciales, industriales y de servicios con el propósito de financiar capital de trabajo.</w:t>
      </w:r>
    </w:p>
    <w:p w:rsidR="002647BA" w:rsidRPr="002647BA" w:rsidRDefault="002647BA" w:rsidP="006A6800">
      <w:pPr>
        <w:jc w:val="both"/>
        <w:rPr>
          <w:b/>
        </w:rPr>
      </w:pPr>
      <w:r w:rsidRPr="002647BA">
        <w:rPr>
          <w:b/>
        </w:rPr>
        <w:t>3 PATRIMONIO</w:t>
      </w:r>
    </w:p>
    <w:p w:rsidR="002647BA" w:rsidRDefault="002647BA" w:rsidP="006A6800">
      <w:pPr>
        <w:jc w:val="both"/>
      </w:pPr>
      <w:r w:rsidRPr="002647BA">
        <w:t>Agrupa el conjunto de las cuentas que representan el valor residual de comparar el activo total menos el pasivo externo, producto de los recursos netos del ente económico que han sido suministrados por el propietario de los mismos, ya sea directamente o como consecuencia del giro ordinario de sus negocios. Comprende los aportes de los accionistas, socios o propietarios, el superávit de capital, reservas, la revalorización de patrimonio, los dividendos o participaciones decretados en acciones, cuotas o partes de interés social, los resultados del ejercicio, resultado de ejercicios anteriores y el superávit por valorizaciones</w:t>
      </w:r>
      <w:r>
        <w:t>.</w:t>
      </w:r>
    </w:p>
    <w:p w:rsidR="002647BA" w:rsidRDefault="002647BA" w:rsidP="006A6800">
      <w:pPr>
        <w:jc w:val="both"/>
      </w:pPr>
      <w:r>
        <w:t>31 CAPITAL SOCIAL</w:t>
      </w:r>
    </w:p>
    <w:p w:rsidR="002647BA" w:rsidRDefault="002647BA" w:rsidP="006A6800">
      <w:pPr>
        <w:jc w:val="both"/>
      </w:pPr>
      <w:r w:rsidRPr="002647BA">
        <w:t>Comprende el valor total de los aportes iniciales y los posteriores aumentos o disminuciones que los socios, accionistas, compañías o aportantes, ponen a disposición del ente económico mediante cuotas, acciones, monto asignado o valor aportado, respectivamente, de acuerdo con escrituras públicas de constitución o reformas, suscripción de acciones según el tipo de sociedad, asociación o negocio, con el lleno de los requisitos legales.</w:t>
      </w:r>
    </w:p>
    <w:p w:rsidR="002647BA" w:rsidRDefault="002647BA" w:rsidP="006A6800">
      <w:pPr>
        <w:jc w:val="both"/>
      </w:pPr>
      <w:r>
        <w:t>32 SUPERÁVIT DE CAPITAL</w:t>
      </w:r>
    </w:p>
    <w:p w:rsidR="002647BA" w:rsidRDefault="002647BA" w:rsidP="006A6800">
      <w:pPr>
        <w:jc w:val="both"/>
      </w:pPr>
      <w:r w:rsidRPr="002647BA">
        <w:t xml:space="preserve">Comprende el valor de las cuentas que reflejan el incremento patrimonial ocasionado por prima en colocación de acciones, cuotas o partes de interés social, las donaciones, el crédito mercantil, el </w:t>
      </w:r>
      <w:proofErr w:type="spellStart"/>
      <w:r w:rsidRPr="002647BA">
        <w:t>know</w:t>
      </w:r>
      <w:proofErr w:type="spellEnd"/>
      <w:r w:rsidRPr="002647BA">
        <w:t xml:space="preserve"> </w:t>
      </w:r>
      <w:proofErr w:type="spellStart"/>
      <w:r w:rsidRPr="002647BA">
        <w:t>how</w:t>
      </w:r>
      <w:proofErr w:type="spellEnd"/>
      <w:r w:rsidRPr="002647BA">
        <w:t xml:space="preserve"> y el superávit método de participación.</w:t>
      </w:r>
    </w:p>
    <w:p w:rsidR="00C74E13" w:rsidRDefault="00C74E13" w:rsidP="002647BA">
      <w:pPr>
        <w:spacing w:after="0"/>
        <w:jc w:val="both"/>
        <w:rPr>
          <w:b/>
        </w:rPr>
      </w:pPr>
    </w:p>
    <w:p w:rsidR="00C74E13" w:rsidRPr="00C74E13" w:rsidRDefault="00C74E13" w:rsidP="00C74E13">
      <w:pPr>
        <w:spacing w:after="0"/>
        <w:jc w:val="both"/>
        <w:rPr>
          <w:highlight w:val="cyan"/>
        </w:rPr>
      </w:pPr>
      <w:proofErr w:type="spellStart"/>
      <w:r w:rsidRPr="00C74E13">
        <w:rPr>
          <w:b/>
          <w:highlight w:val="cyan"/>
        </w:rPr>
        <w:t>know</w:t>
      </w:r>
      <w:proofErr w:type="spellEnd"/>
      <w:r w:rsidRPr="00C74E13">
        <w:rPr>
          <w:b/>
          <w:highlight w:val="cyan"/>
        </w:rPr>
        <w:t xml:space="preserve"> </w:t>
      </w:r>
      <w:proofErr w:type="spellStart"/>
      <w:r w:rsidRPr="00C74E13">
        <w:rPr>
          <w:b/>
          <w:highlight w:val="cyan"/>
        </w:rPr>
        <w:t>how</w:t>
      </w:r>
      <w:proofErr w:type="spellEnd"/>
      <w:r w:rsidRPr="00C74E13">
        <w:rPr>
          <w:b/>
          <w:highlight w:val="cyan"/>
        </w:rPr>
        <w:t>:</w:t>
      </w:r>
      <w:r w:rsidRPr="00C74E13">
        <w:rPr>
          <w:highlight w:val="cyan"/>
        </w:rPr>
        <w:t xml:space="preserve"> </w:t>
      </w:r>
      <w:r w:rsidRPr="00C74E13">
        <w:rPr>
          <w:highlight w:val="cyan"/>
        </w:rPr>
        <w:t>es una expresión anglosajona usada en el comercio internacional para designar los conocimientos que no son siempre académicos e incluyen técnicas, información secreta de las estrategias de la empresa, datos privados de clientes y proveedores, todo lo que sea conocimiento común de una empresa y la diferencie del resto de sus concurrentes.</w:t>
      </w:r>
    </w:p>
    <w:p w:rsidR="00C74E13" w:rsidRPr="00C74E13" w:rsidRDefault="00C74E13" w:rsidP="00C74E13">
      <w:pPr>
        <w:spacing w:after="0"/>
        <w:jc w:val="both"/>
        <w:rPr>
          <w:highlight w:val="cyan"/>
        </w:rPr>
      </w:pPr>
    </w:p>
    <w:p w:rsidR="00C74E13" w:rsidRPr="00C74E13" w:rsidRDefault="00C74E13" w:rsidP="00C74E13">
      <w:pPr>
        <w:spacing w:after="0"/>
        <w:jc w:val="both"/>
      </w:pPr>
      <w:r w:rsidRPr="00C74E13">
        <w:rPr>
          <w:highlight w:val="cyan"/>
        </w:rPr>
        <w:t xml:space="preserve">La palabra </w:t>
      </w:r>
      <w:proofErr w:type="spellStart"/>
      <w:r w:rsidRPr="00C74E13">
        <w:rPr>
          <w:highlight w:val="cyan"/>
        </w:rPr>
        <w:t>know</w:t>
      </w:r>
      <w:proofErr w:type="spellEnd"/>
      <w:r w:rsidRPr="00C74E13">
        <w:rPr>
          <w:highlight w:val="cyan"/>
        </w:rPr>
        <w:t xml:space="preserve"> </w:t>
      </w:r>
      <w:proofErr w:type="spellStart"/>
      <w:r w:rsidRPr="00C74E13">
        <w:rPr>
          <w:highlight w:val="cyan"/>
        </w:rPr>
        <w:t>how</w:t>
      </w:r>
      <w:proofErr w:type="spellEnd"/>
      <w:r w:rsidRPr="00C74E13">
        <w:rPr>
          <w:highlight w:val="cyan"/>
        </w:rPr>
        <w:t xml:space="preserve"> es una palabra compuesta que proviene del idioma inglés que data desde el año 1838 que significa "saber cómo o saber hacer" con el uso de esta expresión se indica que una </w:t>
      </w:r>
      <w:r w:rsidRPr="00C74E13">
        <w:rPr>
          <w:highlight w:val="cyan"/>
        </w:rPr>
        <w:lastRenderedPageBreak/>
        <w:t>persona conoce como hacer las cosas por haberlas hecho previamente, es decir, a través de la experiencia que proporciona la habilidad o capacidad para hacer algo</w:t>
      </w:r>
      <w:r>
        <w:t>.</w:t>
      </w:r>
    </w:p>
    <w:p w:rsidR="002647BA" w:rsidRPr="00C74E13" w:rsidRDefault="002647BA" w:rsidP="00C74E13">
      <w:pPr>
        <w:pStyle w:val="Prrafodelista"/>
        <w:numPr>
          <w:ilvl w:val="0"/>
          <w:numId w:val="2"/>
        </w:numPr>
        <w:spacing w:after="0"/>
        <w:jc w:val="both"/>
        <w:rPr>
          <w:b/>
        </w:rPr>
      </w:pPr>
      <w:r w:rsidRPr="00C74E13">
        <w:rPr>
          <w:b/>
        </w:rPr>
        <w:t>Superávit</w:t>
      </w:r>
    </w:p>
    <w:p w:rsidR="002647BA" w:rsidRPr="002647BA" w:rsidRDefault="002647BA" w:rsidP="002647BA">
      <w:pPr>
        <w:spacing w:after="0"/>
        <w:jc w:val="both"/>
        <w:rPr>
          <w:b/>
        </w:rPr>
      </w:pPr>
      <w:r w:rsidRPr="002647BA">
        <w:rPr>
          <w:b/>
        </w:rPr>
        <w:t>Nombre</w:t>
      </w:r>
      <w:r w:rsidRPr="002647BA">
        <w:rPr>
          <w:b/>
        </w:rPr>
        <w:t xml:space="preserve"> masculino</w:t>
      </w:r>
      <w:bookmarkStart w:id="0" w:name="_GoBack"/>
      <w:bookmarkEnd w:id="0"/>
    </w:p>
    <w:p w:rsidR="002647BA" w:rsidRPr="002647BA" w:rsidRDefault="002647BA" w:rsidP="002647BA">
      <w:pPr>
        <w:pStyle w:val="Prrafodelista"/>
        <w:numPr>
          <w:ilvl w:val="0"/>
          <w:numId w:val="1"/>
        </w:numPr>
        <w:spacing w:after="0"/>
        <w:jc w:val="both"/>
        <w:rPr>
          <w:b/>
        </w:rPr>
      </w:pPr>
      <w:r w:rsidRPr="002647BA">
        <w:rPr>
          <w:b/>
        </w:rPr>
        <w:t>Cantidad en que los ingresos superan a los gastos.</w:t>
      </w:r>
    </w:p>
    <w:p w:rsidR="002647BA" w:rsidRPr="002647BA" w:rsidRDefault="002647BA" w:rsidP="002647BA">
      <w:pPr>
        <w:spacing w:after="0"/>
        <w:jc w:val="both"/>
        <w:rPr>
          <w:b/>
        </w:rPr>
      </w:pPr>
      <w:r w:rsidRPr="002647BA">
        <w:rPr>
          <w:b/>
        </w:rPr>
        <w:t>"el club obtuvo un superávit de 70 millones la pasada temporada"</w:t>
      </w:r>
    </w:p>
    <w:p w:rsidR="002647BA" w:rsidRPr="002647BA" w:rsidRDefault="002647BA" w:rsidP="002647BA">
      <w:pPr>
        <w:pStyle w:val="Prrafodelista"/>
        <w:numPr>
          <w:ilvl w:val="0"/>
          <w:numId w:val="1"/>
        </w:numPr>
        <w:spacing w:after="0"/>
        <w:jc w:val="both"/>
        <w:rPr>
          <w:b/>
        </w:rPr>
      </w:pPr>
      <w:r w:rsidRPr="002647BA">
        <w:rPr>
          <w:b/>
        </w:rPr>
        <w:t>Situación de la economía en que los ingresos son mayores que los gastos.</w:t>
      </w:r>
    </w:p>
    <w:p w:rsidR="002647BA" w:rsidRDefault="002647BA" w:rsidP="002647BA">
      <w:pPr>
        <w:spacing w:after="0"/>
        <w:jc w:val="both"/>
        <w:rPr>
          <w:b/>
        </w:rPr>
      </w:pPr>
      <w:r w:rsidRPr="002647BA">
        <w:rPr>
          <w:b/>
        </w:rPr>
        <w:t>"el superávit en la balanza de pagos provocó una política expansionista</w:t>
      </w:r>
      <w:r>
        <w:rPr>
          <w:b/>
        </w:rPr>
        <w:t>.</w:t>
      </w:r>
    </w:p>
    <w:p w:rsidR="002647BA" w:rsidRDefault="002647BA" w:rsidP="002647BA">
      <w:pPr>
        <w:spacing w:after="0"/>
        <w:jc w:val="both"/>
        <w:rPr>
          <w:b/>
        </w:rPr>
      </w:pPr>
    </w:p>
    <w:p w:rsidR="00C74E13" w:rsidRDefault="00C74E13" w:rsidP="002647BA">
      <w:pPr>
        <w:spacing w:after="0"/>
        <w:jc w:val="both"/>
        <w:rPr>
          <w:b/>
        </w:rPr>
      </w:pPr>
    </w:p>
    <w:p w:rsidR="002647BA" w:rsidRDefault="002647BA" w:rsidP="002647BA">
      <w:pPr>
        <w:spacing w:after="0"/>
        <w:jc w:val="both"/>
      </w:pPr>
      <w:r w:rsidRPr="002647BA">
        <w:t>33</w:t>
      </w:r>
      <w:r>
        <w:t xml:space="preserve"> RESERVAS </w:t>
      </w:r>
    </w:p>
    <w:p w:rsidR="00C74E13" w:rsidRDefault="00C74E13" w:rsidP="00C74E13">
      <w:pPr>
        <w:spacing w:after="0"/>
        <w:jc w:val="both"/>
      </w:pPr>
      <w:r>
        <w:t>Comprenden los valores que por mandato expreso del máximo órgano social, se han apropiado de las utilidades líquidas de ejercicios anteriores obtenidas por el ente económico, con el objeto de cumplir disposiciones legales, estatutarias o para fines específicos.</w:t>
      </w:r>
    </w:p>
    <w:p w:rsidR="00C74E13" w:rsidRDefault="00C74E13" w:rsidP="00C74E13">
      <w:pPr>
        <w:spacing w:after="0"/>
        <w:jc w:val="both"/>
      </w:pPr>
    </w:p>
    <w:p w:rsidR="00C74E13" w:rsidRDefault="00C74E13" w:rsidP="00C74E13">
      <w:pPr>
        <w:spacing w:after="0"/>
        <w:jc w:val="both"/>
      </w:pPr>
      <w:r>
        <w:t>Las pérdidas se enjugarán con las reservas que hayan sido destinadas especialmente para ese propósito y, en su defecto, con la reserva legal. Las reservas cuya finalidad fuere la de absorber determinadas pérdidas no se podrán emplear para cubrir otras distintas, salvo que así lo decida el máximo órgano social.</w:t>
      </w:r>
    </w:p>
    <w:p w:rsidR="00C74E13" w:rsidRDefault="00C74E13" w:rsidP="00C74E13">
      <w:pPr>
        <w:spacing w:after="0"/>
        <w:jc w:val="both"/>
      </w:pPr>
    </w:p>
    <w:p w:rsidR="00C74E13" w:rsidRDefault="00C74E13" w:rsidP="00C74E13">
      <w:pPr>
        <w:spacing w:after="0"/>
        <w:jc w:val="both"/>
      </w:pPr>
      <w:r>
        <w:t>34 REVALORIZACIONES DEL PATRIMONIO</w:t>
      </w:r>
    </w:p>
    <w:p w:rsidR="00C74E13" w:rsidRDefault="00C74E13" w:rsidP="00C74E13">
      <w:pPr>
        <w:spacing w:after="0"/>
        <w:jc w:val="both"/>
      </w:pPr>
      <w:r w:rsidRPr="00C74E13">
        <w:t>Comprende el valor del incremento patrimonial por concepto y de los saldos originados en saneamientos fiscales, realizados conforme a las normas legales vigentes.</w:t>
      </w:r>
    </w:p>
    <w:p w:rsidR="00C74E13" w:rsidRDefault="00C74E13" w:rsidP="00C74E13">
      <w:pPr>
        <w:spacing w:after="0"/>
        <w:jc w:val="both"/>
      </w:pPr>
    </w:p>
    <w:p w:rsidR="00C74E13" w:rsidRDefault="00C74E13" w:rsidP="00C74E13">
      <w:pPr>
        <w:spacing w:after="0"/>
        <w:jc w:val="both"/>
      </w:pPr>
      <w:r>
        <w:t xml:space="preserve">35 </w:t>
      </w:r>
      <w:r w:rsidRPr="00C74E13">
        <w:t xml:space="preserve"> DIVIDENDOS O PARTICIPACIONES DECRETADOS EN ACCIONES, CUOTAS O PARTES DE INTERÉS SOCIAL</w:t>
      </w:r>
    </w:p>
    <w:p w:rsidR="00C74E13" w:rsidRDefault="00C74E13" w:rsidP="00C74E13">
      <w:pPr>
        <w:spacing w:after="0"/>
        <w:jc w:val="both"/>
      </w:pPr>
      <w:r w:rsidRPr="00C74E13">
        <w:t>Comprende el valor apropiado de las ganancias acumuladas mientras se hace la correspondiente emisión de acciones y/o la respectiva escritura de reforma del ente económico por cuotas o partes de interés social y los pertinentes traslados en las respectivas cuentas patrimoniales.</w:t>
      </w:r>
    </w:p>
    <w:p w:rsidR="00C74E13" w:rsidRDefault="00C74E13" w:rsidP="00C74E13">
      <w:pPr>
        <w:spacing w:after="0"/>
        <w:jc w:val="both"/>
      </w:pPr>
    </w:p>
    <w:p w:rsidR="00C74E13" w:rsidRDefault="00C74E13" w:rsidP="00C74E13">
      <w:pPr>
        <w:spacing w:after="0"/>
        <w:jc w:val="both"/>
      </w:pPr>
      <w:r>
        <w:t>36 RESULTADOS DEL EJERCICIO</w:t>
      </w:r>
    </w:p>
    <w:p w:rsidR="00C74E13" w:rsidRDefault="00C74E13" w:rsidP="00C74E13">
      <w:pPr>
        <w:spacing w:after="0"/>
        <w:jc w:val="both"/>
      </w:pPr>
      <w:r w:rsidRPr="00C74E13">
        <w:t>Comprende el valor de las utilidades o pérdidas obtenidas por el ente económico al cierre de cada ejercicio.</w:t>
      </w:r>
    </w:p>
    <w:p w:rsidR="00C74E13" w:rsidRDefault="00C74E13" w:rsidP="00C74E13">
      <w:pPr>
        <w:spacing w:after="0"/>
        <w:jc w:val="both"/>
      </w:pPr>
    </w:p>
    <w:p w:rsidR="00C74E13" w:rsidRDefault="00C74E13" w:rsidP="00C74E13">
      <w:pPr>
        <w:spacing w:after="0"/>
        <w:jc w:val="both"/>
      </w:pPr>
      <w:r>
        <w:t>37 RESULTADOS DEL EJERCICIO ANTERIOR</w:t>
      </w:r>
    </w:p>
    <w:p w:rsidR="00C74E13" w:rsidRDefault="00C74E13" w:rsidP="00C74E13">
      <w:pPr>
        <w:spacing w:after="0"/>
        <w:jc w:val="both"/>
      </w:pPr>
      <w:r w:rsidRPr="00C74E13">
        <w:t>Comprende el valor de los resultados obtenidos en ejercicios anteriores, por utilidades acumuladas que estén a disposición del máximo órgano social o por pérdidas acumuladas no enjugadas.</w:t>
      </w:r>
    </w:p>
    <w:p w:rsidR="00C74E13" w:rsidRDefault="00C74E13" w:rsidP="00C74E13">
      <w:pPr>
        <w:spacing w:after="0"/>
        <w:jc w:val="both"/>
      </w:pPr>
    </w:p>
    <w:p w:rsidR="00C74E13" w:rsidRDefault="00C74E13" w:rsidP="00C74E13">
      <w:pPr>
        <w:spacing w:after="0"/>
        <w:jc w:val="both"/>
      </w:pPr>
      <w:r>
        <w:t>38 SUPERAVIT POR VALORIZACIONES</w:t>
      </w:r>
    </w:p>
    <w:p w:rsidR="00C74E13" w:rsidRPr="002647BA" w:rsidRDefault="00C74E13" w:rsidP="00C74E13">
      <w:pPr>
        <w:spacing w:after="0"/>
        <w:jc w:val="both"/>
      </w:pPr>
      <w:r w:rsidRPr="00C74E13">
        <w:lastRenderedPageBreak/>
        <w:t>Comprende la valorización de inversiones, propiedades, planta y equipo así como de otros activos sujetos de valorización. Para el registro contable de las valorizaciones deben observarse las instrucciones del grupo 19 valorizaciones.</w:t>
      </w:r>
    </w:p>
    <w:sectPr w:rsidR="00C74E13" w:rsidRPr="002647BA" w:rsidSect="00111AF2">
      <w:pgSz w:w="12240" w:h="15840"/>
      <w:pgMar w:top="1417" w:right="1701" w:bottom="1417" w:left="1701" w:header="708" w:footer="708" w:gutter="0"/>
      <w:pgBorders w:offsetFrom="page">
        <w:top w:val="triple" w:sz="4" w:space="24" w:color="548DD4" w:themeColor="text2" w:themeTint="99"/>
        <w:left w:val="triple" w:sz="4" w:space="24" w:color="548DD4" w:themeColor="text2" w:themeTint="99"/>
        <w:bottom w:val="triple" w:sz="4" w:space="24" w:color="548DD4" w:themeColor="text2" w:themeTint="99"/>
        <w:right w:val="triple" w:sz="4" w:space="24" w:color="548DD4" w:themeColor="text2" w:themeTint="99"/>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FDD71B9"/>
    <w:multiLevelType w:val="hybridMultilevel"/>
    <w:tmpl w:val="11BC96D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nsid w:val="6C7767DA"/>
    <w:multiLevelType w:val="hybridMultilevel"/>
    <w:tmpl w:val="AF840A0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54C5"/>
    <w:rsid w:val="00111AF2"/>
    <w:rsid w:val="002647BA"/>
    <w:rsid w:val="00410753"/>
    <w:rsid w:val="005A54C5"/>
    <w:rsid w:val="005C4D66"/>
    <w:rsid w:val="006A6800"/>
    <w:rsid w:val="00824AB0"/>
    <w:rsid w:val="00C74E13"/>
    <w:rsid w:val="00CA02E9"/>
    <w:rsid w:val="00CE6F1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5A54C5"/>
    <w:pPr>
      <w:spacing w:before="100" w:beforeAutospacing="1" w:after="100" w:afterAutospacing="1" w:line="240" w:lineRule="auto"/>
    </w:pPr>
    <w:rPr>
      <w:rFonts w:ascii="Times New Roman" w:eastAsia="Times New Roman" w:hAnsi="Times New Roman" w:cs="Times New Roman"/>
      <w:sz w:val="24"/>
      <w:szCs w:val="24"/>
      <w:lang w:eastAsia="es-CO"/>
    </w:rPr>
  </w:style>
  <w:style w:type="paragraph" w:styleId="Encabezado">
    <w:name w:val="header"/>
    <w:basedOn w:val="Normal"/>
    <w:link w:val="EncabezadoCar"/>
    <w:uiPriority w:val="99"/>
    <w:unhideWhenUsed/>
    <w:rsid w:val="00111AF2"/>
    <w:pPr>
      <w:tabs>
        <w:tab w:val="center" w:pos="4252"/>
        <w:tab w:val="right" w:pos="8504"/>
      </w:tabs>
    </w:pPr>
    <w:rPr>
      <w:rFonts w:ascii="Calibri" w:eastAsia="Times New Roman" w:hAnsi="Calibri" w:cs="Times New Roman"/>
      <w:lang w:val="es-ES" w:eastAsia="es-ES"/>
    </w:rPr>
  </w:style>
  <w:style w:type="character" w:customStyle="1" w:styleId="EncabezadoCar">
    <w:name w:val="Encabezado Car"/>
    <w:basedOn w:val="Fuentedeprrafopredeter"/>
    <w:link w:val="Encabezado"/>
    <w:uiPriority w:val="99"/>
    <w:rsid w:val="00111AF2"/>
    <w:rPr>
      <w:rFonts w:ascii="Calibri" w:eastAsia="Times New Roman" w:hAnsi="Calibri" w:cs="Times New Roman"/>
      <w:lang w:val="es-ES" w:eastAsia="es-ES"/>
    </w:rPr>
  </w:style>
  <w:style w:type="paragraph" w:styleId="Prrafodelista">
    <w:name w:val="List Paragraph"/>
    <w:basedOn w:val="Normal"/>
    <w:uiPriority w:val="34"/>
    <w:qFormat/>
    <w:rsid w:val="002647B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5A54C5"/>
    <w:pPr>
      <w:spacing w:before="100" w:beforeAutospacing="1" w:after="100" w:afterAutospacing="1" w:line="240" w:lineRule="auto"/>
    </w:pPr>
    <w:rPr>
      <w:rFonts w:ascii="Times New Roman" w:eastAsia="Times New Roman" w:hAnsi="Times New Roman" w:cs="Times New Roman"/>
      <w:sz w:val="24"/>
      <w:szCs w:val="24"/>
      <w:lang w:eastAsia="es-CO"/>
    </w:rPr>
  </w:style>
  <w:style w:type="paragraph" w:styleId="Encabezado">
    <w:name w:val="header"/>
    <w:basedOn w:val="Normal"/>
    <w:link w:val="EncabezadoCar"/>
    <w:uiPriority w:val="99"/>
    <w:unhideWhenUsed/>
    <w:rsid w:val="00111AF2"/>
    <w:pPr>
      <w:tabs>
        <w:tab w:val="center" w:pos="4252"/>
        <w:tab w:val="right" w:pos="8504"/>
      </w:tabs>
    </w:pPr>
    <w:rPr>
      <w:rFonts w:ascii="Calibri" w:eastAsia="Times New Roman" w:hAnsi="Calibri" w:cs="Times New Roman"/>
      <w:lang w:val="es-ES" w:eastAsia="es-ES"/>
    </w:rPr>
  </w:style>
  <w:style w:type="character" w:customStyle="1" w:styleId="EncabezadoCar">
    <w:name w:val="Encabezado Car"/>
    <w:basedOn w:val="Fuentedeprrafopredeter"/>
    <w:link w:val="Encabezado"/>
    <w:uiPriority w:val="99"/>
    <w:rsid w:val="00111AF2"/>
    <w:rPr>
      <w:rFonts w:ascii="Calibri" w:eastAsia="Times New Roman" w:hAnsi="Calibri" w:cs="Times New Roman"/>
      <w:lang w:val="es-ES" w:eastAsia="es-ES"/>
    </w:rPr>
  </w:style>
  <w:style w:type="paragraph" w:styleId="Prrafodelista">
    <w:name w:val="List Paragraph"/>
    <w:basedOn w:val="Normal"/>
    <w:uiPriority w:val="34"/>
    <w:qFormat/>
    <w:rsid w:val="002647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9506200">
      <w:bodyDiv w:val="1"/>
      <w:marLeft w:val="0"/>
      <w:marRight w:val="0"/>
      <w:marTop w:val="0"/>
      <w:marBottom w:val="0"/>
      <w:divBdr>
        <w:top w:val="none" w:sz="0" w:space="0" w:color="auto"/>
        <w:left w:val="none" w:sz="0" w:space="0" w:color="auto"/>
        <w:bottom w:val="none" w:sz="0" w:space="0" w:color="auto"/>
        <w:right w:val="none" w:sz="0" w:space="0" w:color="auto"/>
      </w:divBdr>
    </w:div>
    <w:div w:id="512183466">
      <w:bodyDiv w:val="1"/>
      <w:marLeft w:val="0"/>
      <w:marRight w:val="0"/>
      <w:marTop w:val="0"/>
      <w:marBottom w:val="0"/>
      <w:divBdr>
        <w:top w:val="none" w:sz="0" w:space="0" w:color="auto"/>
        <w:left w:val="none" w:sz="0" w:space="0" w:color="auto"/>
        <w:bottom w:val="none" w:sz="0" w:space="0" w:color="auto"/>
        <w:right w:val="none" w:sz="0" w:space="0" w:color="auto"/>
      </w:divBdr>
      <w:divsChild>
        <w:div w:id="1076588649">
          <w:marLeft w:val="0"/>
          <w:marRight w:val="0"/>
          <w:marTop w:val="0"/>
          <w:marBottom w:val="0"/>
          <w:divBdr>
            <w:top w:val="none" w:sz="0" w:space="0" w:color="auto"/>
            <w:left w:val="none" w:sz="0" w:space="0" w:color="auto"/>
            <w:bottom w:val="none" w:sz="0" w:space="0" w:color="auto"/>
            <w:right w:val="none" w:sz="0" w:space="0" w:color="auto"/>
          </w:divBdr>
          <w:divsChild>
            <w:div w:id="1813131655">
              <w:marLeft w:val="0"/>
              <w:marRight w:val="0"/>
              <w:marTop w:val="0"/>
              <w:marBottom w:val="0"/>
              <w:divBdr>
                <w:top w:val="none" w:sz="0" w:space="0" w:color="auto"/>
                <w:left w:val="none" w:sz="0" w:space="0" w:color="auto"/>
                <w:bottom w:val="none" w:sz="0" w:space="0" w:color="auto"/>
                <w:right w:val="none" w:sz="0" w:space="0" w:color="auto"/>
              </w:divBdr>
            </w:div>
            <w:div w:id="1972706449">
              <w:marLeft w:val="0"/>
              <w:marRight w:val="0"/>
              <w:marTop w:val="0"/>
              <w:marBottom w:val="0"/>
              <w:divBdr>
                <w:top w:val="none" w:sz="0" w:space="0" w:color="auto"/>
                <w:left w:val="none" w:sz="0" w:space="0" w:color="auto"/>
                <w:bottom w:val="none" w:sz="0" w:space="0" w:color="auto"/>
                <w:right w:val="none" w:sz="0" w:space="0" w:color="auto"/>
              </w:divBdr>
              <w:divsChild>
                <w:div w:id="1486969055">
                  <w:marLeft w:val="0"/>
                  <w:marRight w:val="0"/>
                  <w:marTop w:val="0"/>
                  <w:marBottom w:val="0"/>
                  <w:divBdr>
                    <w:top w:val="none" w:sz="0" w:space="0" w:color="auto"/>
                    <w:left w:val="none" w:sz="0" w:space="0" w:color="auto"/>
                    <w:bottom w:val="none" w:sz="0" w:space="0" w:color="auto"/>
                    <w:right w:val="none" w:sz="0" w:space="0" w:color="auto"/>
                  </w:divBdr>
                  <w:divsChild>
                    <w:div w:id="345181709">
                      <w:marLeft w:val="0"/>
                      <w:marRight w:val="0"/>
                      <w:marTop w:val="0"/>
                      <w:marBottom w:val="0"/>
                      <w:divBdr>
                        <w:top w:val="none" w:sz="0" w:space="0" w:color="auto"/>
                        <w:left w:val="none" w:sz="0" w:space="0" w:color="auto"/>
                        <w:bottom w:val="none" w:sz="0" w:space="0" w:color="auto"/>
                        <w:right w:val="none" w:sz="0" w:space="0" w:color="auto"/>
                      </w:divBdr>
                    </w:div>
                    <w:div w:id="1799059980">
                      <w:marLeft w:val="300"/>
                      <w:marRight w:val="0"/>
                      <w:marTop w:val="0"/>
                      <w:marBottom w:val="0"/>
                      <w:divBdr>
                        <w:top w:val="none" w:sz="0" w:space="0" w:color="auto"/>
                        <w:left w:val="none" w:sz="0" w:space="0" w:color="auto"/>
                        <w:bottom w:val="none" w:sz="0" w:space="0" w:color="auto"/>
                        <w:right w:val="none" w:sz="0" w:space="0" w:color="auto"/>
                      </w:divBdr>
                      <w:divsChild>
                        <w:div w:id="676231556">
                          <w:marLeft w:val="0"/>
                          <w:marRight w:val="0"/>
                          <w:marTop w:val="0"/>
                          <w:marBottom w:val="0"/>
                          <w:divBdr>
                            <w:top w:val="none" w:sz="0" w:space="0" w:color="auto"/>
                            <w:left w:val="none" w:sz="0" w:space="0" w:color="auto"/>
                            <w:bottom w:val="none" w:sz="0" w:space="0" w:color="auto"/>
                            <w:right w:val="none" w:sz="0" w:space="0" w:color="auto"/>
                          </w:divBdr>
                          <w:divsChild>
                            <w:div w:id="642348241">
                              <w:marLeft w:val="0"/>
                              <w:marRight w:val="0"/>
                              <w:marTop w:val="0"/>
                              <w:marBottom w:val="0"/>
                              <w:divBdr>
                                <w:top w:val="none" w:sz="0" w:space="0" w:color="auto"/>
                                <w:left w:val="none" w:sz="0" w:space="0" w:color="auto"/>
                                <w:bottom w:val="none" w:sz="0" w:space="0" w:color="auto"/>
                                <w:right w:val="none" w:sz="0" w:space="0" w:color="auto"/>
                              </w:divBdr>
                            </w:div>
                            <w:div w:id="492065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4805768">
              <w:marLeft w:val="0"/>
              <w:marRight w:val="0"/>
              <w:marTop w:val="0"/>
              <w:marBottom w:val="0"/>
              <w:divBdr>
                <w:top w:val="none" w:sz="0" w:space="0" w:color="auto"/>
                <w:left w:val="none" w:sz="0" w:space="0" w:color="auto"/>
                <w:bottom w:val="none" w:sz="0" w:space="0" w:color="auto"/>
                <w:right w:val="none" w:sz="0" w:space="0" w:color="auto"/>
              </w:divBdr>
              <w:divsChild>
                <w:div w:id="2083866600">
                  <w:marLeft w:val="0"/>
                  <w:marRight w:val="0"/>
                  <w:marTop w:val="0"/>
                  <w:marBottom w:val="0"/>
                  <w:divBdr>
                    <w:top w:val="none" w:sz="0" w:space="0" w:color="auto"/>
                    <w:left w:val="none" w:sz="0" w:space="0" w:color="auto"/>
                    <w:bottom w:val="none" w:sz="0" w:space="0" w:color="auto"/>
                    <w:right w:val="none" w:sz="0" w:space="0" w:color="auto"/>
                  </w:divBdr>
                  <w:divsChild>
                    <w:div w:id="2097050717">
                      <w:marLeft w:val="0"/>
                      <w:marRight w:val="0"/>
                      <w:marTop w:val="0"/>
                      <w:marBottom w:val="0"/>
                      <w:divBdr>
                        <w:top w:val="none" w:sz="0" w:space="0" w:color="auto"/>
                        <w:left w:val="none" w:sz="0" w:space="0" w:color="auto"/>
                        <w:bottom w:val="none" w:sz="0" w:space="0" w:color="auto"/>
                        <w:right w:val="none" w:sz="0" w:space="0" w:color="auto"/>
                      </w:divBdr>
                    </w:div>
                    <w:div w:id="1362167581">
                      <w:marLeft w:val="300"/>
                      <w:marRight w:val="0"/>
                      <w:marTop w:val="0"/>
                      <w:marBottom w:val="0"/>
                      <w:divBdr>
                        <w:top w:val="none" w:sz="0" w:space="0" w:color="auto"/>
                        <w:left w:val="none" w:sz="0" w:space="0" w:color="auto"/>
                        <w:bottom w:val="none" w:sz="0" w:space="0" w:color="auto"/>
                        <w:right w:val="none" w:sz="0" w:space="0" w:color="auto"/>
                      </w:divBdr>
                      <w:divsChild>
                        <w:div w:id="1857188264">
                          <w:marLeft w:val="0"/>
                          <w:marRight w:val="0"/>
                          <w:marTop w:val="0"/>
                          <w:marBottom w:val="0"/>
                          <w:divBdr>
                            <w:top w:val="none" w:sz="0" w:space="0" w:color="auto"/>
                            <w:left w:val="none" w:sz="0" w:space="0" w:color="auto"/>
                            <w:bottom w:val="none" w:sz="0" w:space="0" w:color="auto"/>
                            <w:right w:val="none" w:sz="0" w:space="0" w:color="auto"/>
                          </w:divBdr>
                          <w:divsChild>
                            <w:div w:id="1122304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58594547">
      <w:bodyDiv w:val="1"/>
      <w:marLeft w:val="0"/>
      <w:marRight w:val="0"/>
      <w:marTop w:val="0"/>
      <w:marBottom w:val="0"/>
      <w:divBdr>
        <w:top w:val="none" w:sz="0" w:space="0" w:color="auto"/>
        <w:left w:val="none" w:sz="0" w:space="0" w:color="auto"/>
        <w:bottom w:val="none" w:sz="0" w:space="0" w:color="auto"/>
        <w:right w:val="none" w:sz="0" w:space="0" w:color="auto"/>
      </w:divBdr>
    </w:div>
    <w:div w:id="592249556">
      <w:bodyDiv w:val="1"/>
      <w:marLeft w:val="0"/>
      <w:marRight w:val="0"/>
      <w:marTop w:val="0"/>
      <w:marBottom w:val="0"/>
      <w:divBdr>
        <w:top w:val="none" w:sz="0" w:space="0" w:color="auto"/>
        <w:left w:val="none" w:sz="0" w:space="0" w:color="auto"/>
        <w:bottom w:val="none" w:sz="0" w:space="0" w:color="auto"/>
        <w:right w:val="none" w:sz="0" w:space="0" w:color="auto"/>
      </w:divBdr>
    </w:div>
    <w:div w:id="647323975">
      <w:bodyDiv w:val="1"/>
      <w:marLeft w:val="0"/>
      <w:marRight w:val="0"/>
      <w:marTop w:val="0"/>
      <w:marBottom w:val="0"/>
      <w:divBdr>
        <w:top w:val="none" w:sz="0" w:space="0" w:color="auto"/>
        <w:left w:val="none" w:sz="0" w:space="0" w:color="auto"/>
        <w:bottom w:val="none" w:sz="0" w:space="0" w:color="auto"/>
        <w:right w:val="none" w:sz="0" w:space="0" w:color="auto"/>
      </w:divBdr>
    </w:div>
    <w:div w:id="662778904">
      <w:bodyDiv w:val="1"/>
      <w:marLeft w:val="0"/>
      <w:marRight w:val="0"/>
      <w:marTop w:val="0"/>
      <w:marBottom w:val="0"/>
      <w:divBdr>
        <w:top w:val="none" w:sz="0" w:space="0" w:color="auto"/>
        <w:left w:val="none" w:sz="0" w:space="0" w:color="auto"/>
        <w:bottom w:val="none" w:sz="0" w:space="0" w:color="auto"/>
        <w:right w:val="none" w:sz="0" w:space="0" w:color="auto"/>
      </w:divBdr>
    </w:div>
    <w:div w:id="728772689">
      <w:bodyDiv w:val="1"/>
      <w:marLeft w:val="0"/>
      <w:marRight w:val="0"/>
      <w:marTop w:val="0"/>
      <w:marBottom w:val="0"/>
      <w:divBdr>
        <w:top w:val="none" w:sz="0" w:space="0" w:color="auto"/>
        <w:left w:val="none" w:sz="0" w:space="0" w:color="auto"/>
        <w:bottom w:val="none" w:sz="0" w:space="0" w:color="auto"/>
        <w:right w:val="none" w:sz="0" w:space="0" w:color="auto"/>
      </w:divBdr>
    </w:div>
    <w:div w:id="731847826">
      <w:bodyDiv w:val="1"/>
      <w:marLeft w:val="0"/>
      <w:marRight w:val="0"/>
      <w:marTop w:val="0"/>
      <w:marBottom w:val="0"/>
      <w:divBdr>
        <w:top w:val="none" w:sz="0" w:space="0" w:color="auto"/>
        <w:left w:val="none" w:sz="0" w:space="0" w:color="auto"/>
        <w:bottom w:val="none" w:sz="0" w:space="0" w:color="auto"/>
        <w:right w:val="none" w:sz="0" w:space="0" w:color="auto"/>
      </w:divBdr>
    </w:div>
    <w:div w:id="805273266">
      <w:bodyDiv w:val="1"/>
      <w:marLeft w:val="0"/>
      <w:marRight w:val="0"/>
      <w:marTop w:val="0"/>
      <w:marBottom w:val="0"/>
      <w:divBdr>
        <w:top w:val="none" w:sz="0" w:space="0" w:color="auto"/>
        <w:left w:val="none" w:sz="0" w:space="0" w:color="auto"/>
        <w:bottom w:val="none" w:sz="0" w:space="0" w:color="auto"/>
        <w:right w:val="none" w:sz="0" w:space="0" w:color="auto"/>
      </w:divBdr>
      <w:divsChild>
        <w:div w:id="1502159545">
          <w:marLeft w:val="0"/>
          <w:marRight w:val="0"/>
          <w:marTop w:val="0"/>
          <w:marBottom w:val="0"/>
          <w:divBdr>
            <w:top w:val="none" w:sz="0" w:space="0" w:color="auto"/>
            <w:left w:val="none" w:sz="0" w:space="0" w:color="auto"/>
            <w:bottom w:val="none" w:sz="0" w:space="0" w:color="auto"/>
            <w:right w:val="none" w:sz="0" w:space="0" w:color="auto"/>
          </w:divBdr>
          <w:divsChild>
            <w:div w:id="813259609">
              <w:marLeft w:val="0"/>
              <w:marRight w:val="0"/>
              <w:marTop w:val="0"/>
              <w:marBottom w:val="0"/>
              <w:divBdr>
                <w:top w:val="none" w:sz="0" w:space="0" w:color="auto"/>
                <w:left w:val="none" w:sz="0" w:space="0" w:color="auto"/>
                <w:bottom w:val="none" w:sz="0" w:space="0" w:color="auto"/>
                <w:right w:val="none" w:sz="0" w:space="0" w:color="auto"/>
              </w:divBdr>
            </w:div>
            <w:div w:id="26495819">
              <w:marLeft w:val="0"/>
              <w:marRight w:val="0"/>
              <w:marTop w:val="0"/>
              <w:marBottom w:val="0"/>
              <w:divBdr>
                <w:top w:val="none" w:sz="0" w:space="0" w:color="auto"/>
                <w:left w:val="none" w:sz="0" w:space="0" w:color="auto"/>
                <w:bottom w:val="none" w:sz="0" w:space="0" w:color="auto"/>
                <w:right w:val="none" w:sz="0" w:space="0" w:color="auto"/>
              </w:divBdr>
              <w:divsChild>
                <w:div w:id="431243465">
                  <w:marLeft w:val="0"/>
                  <w:marRight w:val="0"/>
                  <w:marTop w:val="0"/>
                  <w:marBottom w:val="0"/>
                  <w:divBdr>
                    <w:top w:val="none" w:sz="0" w:space="0" w:color="auto"/>
                    <w:left w:val="none" w:sz="0" w:space="0" w:color="auto"/>
                    <w:bottom w:val="none" w:sz="0" w:space="0" w:color="auto"/>
                    <w:right w:val="none" w:sz="0" w:space="0" w:color="auto"/>
                  </w:divBdr>
                  <w:divsChild>
                    <w:div w:id="1677879249">
                      <w:marLeft w:val="0"/>
                      <w:marRight w:val="0"/>
                      <w:marTop w:val="0"/>
                      <w:marBottom w:val="0"/>
                      <w:divBdr>
                        <w:top w:val="none" w:sz="0" w:space="0" w:color="auto"/>
                        <w:left w:val="none" w:sz="0" w:space="0" w:color="auto"/>
                        <w:bottom w:val="none" w:sz="0" w:space="0" w:color="auto"/>
                        <w:right w:val="none" w:sz="0" w:space="0" w:color="auto"/>
                      </w:divBdr>
                    </w:div>
                    <w:div w:id="1349285083">
                      <w:marLeft w:val="300"/>
                      <w:marRight w:val="0"/>
                      <w:marTop w:val="0"/>
                      <w:marBottom w:val="0"/>
                      <w:divBdr>
                        <w:top w:val="none" w:sz="0" w:space="0" w:color="auto"/>
                        <w:left w:val="none" w:sz="0" w:space="0" w:color="auto"/>
                        <w:bottom w:val="none" w:sz="0" w:space="0" w:color="auto"/>
                        <w:right w:val="none" w:sz="0" w:space="0" w:color="auto"/>
                      </w:divBdr>
                      <w:divsChild>
                        <w:div w:id="1138646572">
                          <w:marLeft w:val="0"/>
                          <w:marRight w:val="0"/>
                          <w:marTop w:val="0"/>
                          <w:marBottom w:val="0"/>
                          <w:divBdr>
                            <w:top w:val="none" w:sz="0" w:space="0" w:color="auto"/>
                            <w:left w:val="none" w:sz="0" w:space="0" w:color="auto"/>
                            <w:bottom w:val="none" w:sz="0" w:space="0" w:color="auto"/>
                            <w:right w:val="none" w:sz="0" w:space="0" w:color="auto"/>
                          </w:divBdr>
                          <w:divsChild>
                            <w:div w:id="1423835321">
                              <w:marLeft w:val="0"/>
                              <w:marRight w:val="0"/>
                              <w:marTop w:val="0"/>
                              <w:marBottom w:val="0"/>
                              <w:divBdr>
                                <w:top w:val="none" w:sz="0" w:space="0" w:color="auto"/>
                                <w:left w:val="none" w:sz="0" w:space="0" w:color="auto"/>
                                <w:bottom w:val="none" w:sz="0" w:space="0" w:color="auto"/>
                                <w:right w:val="none" w:sz="0" w:space="0" w:color="auto"/>
                              </w:divBdr>
                            </w:div>
                            <w:div w:id="898394395">
                              <w:marLeft w:val="0"/>
                              <w:marRight w:val="0"/>
                              <w:marTop w:val="0"/>
                              <w:marBottom w:val="0"/>
                              <w:divBdr>
                                <w:top w:val="none" w:sz="0" w:space="0" w:color="auto"/>
                                <w:left w:val="none" w:sz="0" w:space="0" w:color="auto"/>
                                <w:bottom w:val="none" w:sz="0" w:space="0" w:color="auto"/>
                                <w:right w:val="none" w:sz="0" w:space="0" w:color="auto"/>
                              </w:divBdr>
                            </w:div>
                            <w:div w:id="1673139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1953555">
              <w:marLeft w:val="0"/>
              <w:marRight w:val="0"/>
              <w:marTop w:val="0"/>
              <w:marBottom w:val="0"/>
              <w:divBdr>
                <w:top w:val="none" w:sz="0" w:space="0" w:color="auto"/>
                <w:left w:val="none" w:sz="0" w:space="0" w:color="auto"/>
                <w:bottom w:val="none" w:sz="0" w:space="0" w:color="auto"/>
                <w:right w:val="none" w:sz="0" w:space="0" w:color="auto"/>
              </w:divBdr>
              <w:divsChild>
                <w:div w:id="570044265">
                  <w:marLeft w:val="0"/>
                  <w:marRight w:val="0"/>
                  <w:marTop w:val="0"/>
                  <w:marBottom w:val="0"/>
                  <w:divBdr>
                    <w:top w:val="none" w:sz="0" w:space="0" w:color="auto"/>
                    <w:left w:val="none" w:sz="0" w:space="0" w:color="auto"/>
                    <w:bottom w:val="none" w:sz="0" w:space="0" w:color="auto"/>
                    <w:right w:val="none" w:sz="0" w:space="0" w:color="auto"/>
                  </w:divBdr>
                  <w:divsChild>
                    <w:div w:id="673187806">
                      <w:marLeft w:val="0"/>
                      <w:marRight w:val="0"/>
                      <w:marTop w:val="0"/>
                      <w:marBottom w:val="0"/>
                      <w:divBdr>
                        <w:top w:val="none" w:sz="0" w:space="0" w:color="auto"/>
                        <w:left w:val="none" w:sz="0" w:space="0" w:color="auto"/>
                        <w:bottom w:val="none" w:sz="0" w:space="0" w:color="auto"/>
                        <w:right w:val="none" w:sz="0" w:space="0" w:color="auto"/>
                      </w:divBdr>
                    </w:div>
                    <w:div w:id="12847472">
                      <w:marLeft w:val="300"/>
                      <w:marRight w:val="0"/>
                      <w:marTop w:val="0"/>
                      <w:marBottom w:val="0"/>
                      <w:divBdr>
                        <w:top w:val="none" w:sz="0" w:space="0" w:color="auto"/>
                        <w:left w:val="none" w:sz="0" w:space="0" w:color="auto"/>
                        <w:bottom w:val="none" w:sz="0" w:space="0" w:color="auto"/>
                        <w:right w:val="none" w:sz="0" w:space="0" w:color="auto"/>
                      </w:divBdr>
                      <w:divsChild>
                        <w:div w:id="1889801284">
                          <w:marLeft w:val="0"/>
                          <w:marRight w:val="0"/>
                          <w:marTop w:val="0"/>
                          <w:marBottom w:val="0"/>
                          <w:divBdr>
                            <w:top w:val="none" w:sz="0" w:space="0" w:color="auto"/>
                            <w:left w:val="none" w:sz="0" w:space="0" w:color="auto"/>
                            <w:bottom w:val="none" w:sz="0" w:space="0" w:color="auto"/>
                            <w:right w:val="none" w:sz="0" w:space="0" w:color="auto"/>
                          </w:divBdr>
                          <w:divsChild>
                            <w:div w:id="1507862974">
                              <w:marLeft w:val="0"/>
                              <w:marRight w:val="0"/>
                              <w:marTop w:val="0"/>
                              <w:marBottom w:val="0"/>
                              <w:divBdr>
                                <w:top w:val="none" w:sz="0" w:space="0" w:color="auto"/>
                                <w:left w:val="none" w:sz="0" w:space="0" w:color="auto"/>
                                <w:bottom w:val="none" w:sz="0" w:space="0" w:color="auto"/>
                                <w:right w:val="none" w:sz="0" w:space="0" w:color="auto"/>
                              </w:divBdr>
                            </w:div>
                            <w:div w:id="1652129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12215222">
      <w:bodyDiv w:val="1"/>
      <w:marLeft w:val="0"/>
      <w:marRight w:val="0"/>
      <w:marTop w:val="0"/>
      <w:marBottom w:val="0"/>
      <w:divBdr>
        <w:top w:val="none" w:sz="0" w:space="0" w:color="auto"/>
        <w:left w:val="none" w:sz="0" w:space="0" w:color="auto"/>
        <w:bottom w:val="none" w:sz="0" w:space="0" w:color="auto"/>
        <w:right w:val="none" w:sz="0" w:space="0" w:color="auto"/>
      </w:divBdr>
    </w:div>
    <w:div w:id="895970629">
      <w:bodyDiv w:val="1"/>
      <w:marLeft w:val="0"/>
      <w:marRight w:val="0"/>
      <w:marTop w:val="0"/>
      <w:marBottom w:val="0"/>
      <w:divBdr>
        <w:top w:val="none" w:sz="0" w:space="0" w:color="auto"/>
        <w:left w:val="none" w:sz="0" w:space="0" w:color="auto"/>
        <w:bottom w:val="none" w:sz="0" w:space="0" w:color="auto"/>
        <w:right w:val="none" w:sz="0" w:space="0" w:color="auto"/>
      </w:divBdr>
    </w:div>
    <w:div w:id="1193567526">
      <w:bodyDiv w:val="1"/>
      <w:marLeft w:val="0"/>
      <w:marRight w:val="0"/>
      <w:marTop w:val="0"/>
      <w:marBottom w:val="0"/>
      <w:divBdr>
        <w:top w:val="none" w:sz="0" w:space="0" w:color="auto"/>
        <w:left w:val="none" w:sz="0" w:space="0" w:color="auto"/>
        <w:bottom w:val="none" w:sz="0" w:space="0" w:color="auto"/>
        <w:right w:val="none" w:sz="0" w:space="0" w:color="auto"/>
      </w:divBdr>
    </w:div>
    <w:div w:id="1409419701">
      <w:bodyDiv w:val="1"/>
      <w:marLeft w:val="0"/>
      <w:marRight w:val="0"/>
      <w:marTop w:val="0"/>
      <w:marBottom w:val="0"/>
      <w:divBdr>
        <w:top w:val="none" w:sz="0" w:space="0" w:color="auto"/>
        <w:left w:val="none" w:sz="0" w:space="0" w:color="auto"/>
        <w:bottom w:val="none" w:sz="0" w:space="0" w:color="auto"/>
        <w:right w:val="none" w:sz="0" w:space="0" w:color="auto"/>
      </w:divBdr>
    </w:div>
    <w:div w:id="1409646276">
      <w:bodyDiv w:val="1"/>
      <w:marLeft w:val="0"/>
      <w:marRight w:val="0"/>
      <w:marTop w:val="0"/>
      <w:marBottom w:val="0"/>
      <w:divBdr>
        <w:top w:val="none" w:sz="0" w:space="0" w:color="auto"/>
        <w:left w:val="none" w:sz="0" w:space="0" w:color="auto"/>
        <w:bottom w:val="none" w:sz="0" w:space="0" w:color="auto"/>
        <w:right w:val="none" w:sz="0" w:space="0" w:color="auto"/>
      </w:divBdr>
    </w:div>
    <w:div w:id="1766147777">
      <w:bodyDiv w:val="1"/>
      <w:marLeft w:val="0"/>
      <w:marRight w:val="0"/>
      <w:marTop w:val="0"/>
      <w:marBottom w:val="0"/>
      <w:divBdr>
        <w:top w:val="none" w:sz="0" w:space="0" w:color="auto"/>
        <w:left w:val="none" w:sz="0" w:space="0" w:color="auto"/>
        <w:bottom w:val="none" w:sz="0" w:space="0" w:color="auto"/>
        <w:right w:val="none" w:sz="0" w:space="0" w:color="auto"/>
      </w:divBdr>
    </w:div>
    <w:div w:id="1821725814">
      <w:bodyDiv w:val="1"/>
      <w:marLeft w:val="0"/>
      <w:marRight w:val="0"/>
      <w:marTop w:val="0"/>
      <w:marBottom w:val="0"/>
      <w:divBdr>
        <w:top w:val="none" w:sz="0" w:space="0" w:color="auto"/>
        <w:left w:val="none" w:sz="0" w:space="0" w:color="auto"/>
        <w:bottom w:val="none" w:sz="0" w:space="0" w:color="auto"/>
        <w:right w:val="none" w:sz="0" w:space="0" w:color="auto"/>
      </w:divBdr>
    </w:div>
    <w:div w:id="1954049064">
      <w:bodyDiv w:val="1"/>
      <w:marLeft w:val="0"/>
      <w:marRight w:val="0"/>
      <w:marTop w:val="0"/>
      <w:marBottom w:val="0"/>
      <w:divBdr>
        <w:top w:val="none" w:sz="0" w:space="0" w:color="auto"/>
        <w:left w:val="none" w:sz="0" w:space="0" w:color="auto"/>
        <w:bottom w:val="none" w:sz="0" w:space="0" w:color="auto"/>
        <w:right w:val="none" w:sz="0" w:space="0" w:color="auto"/>
      </w:divBdr>
    </w:div>
    <w:div w:id="19748255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111</TotalTime>
  <Pages>7</Pages>
  <Words>2115</Words>
  <Characters>11638</Characters>
  <Application>Microsoft Office Word</Application>
  <DocSecurity>0</DocSecurity>
  <Lines>96</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13726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CASA</dc:creator>
  <cp:lastModifiedBy>CASA</cp:lastModifiedBy>
  <cp:revision>3</cp:revision>
  <dcterms:created xsi:type="dcterms:W3CDTF">2016-04-15T14:14:00Z</dcterms:created>
  <dcterms:modified xsi:type="dcterms:W3CDTF">2016-04-21T12:44:00Z</dcterms:modified>
</cp:coreProperties>
</file>