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0B0B0F"/>
          <w:sz w:val="40"/>
          <w:szCs w:val="40"/>
        </w:rPr>
        <w:t xml:space="preserve">EU-Partizipationskanaele</w:t>
      </w:r>
    </w:p>
    <w:p>
      <w:pPr>
        <w:spacing w:after="600"/>
        <w:jc w:val="center"/>
      </w:pPr>
      <w:r>
        <w:rPr>
          <w:rFonts w:ascii="Arial" w:cs="Arial" w:eastAsia="Arial" w:hAnsi="Arial"/>
          <w:color w:val="5A6068"/>
          <w:sz w:val="22"/>
          <w:szCs w:val="22"/>
        </w:rPr>
        <w:t xml:space="preserve">Formale Buergerbeteiligung auf EU-Ebene — Analyse fuer DeineStimme.org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1. Uebersicht: Vier Kanaele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800"/>
        <w:gridCol w:w="230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Hürde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Wirksamkeit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Verbindlichkeit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Für DeineStimme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EBI (Bürgerinitiative)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Mio. Unterschriften in 7+ 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Agenda-Setting stark, Gesetzgebung schwach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Keine — volle Kommissionsdiskretion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Auto-Weiterleitung bei EU-reifen Themen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PETI (Petitionsausschuss)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Keine Schwelle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Niedrig — Kontrolle, nicht Gestaltung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Keine direkte Gesetzgebung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Fallback für Einzelthemen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CoFoE (Zukunftskonferenz)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Einmalig (2021-22)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Hoch — 95% umsetzbar laut Rat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Polit. Selbstverpflichtung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Deliberatives Modell als Vorbild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Art. 225 AEUV (EP-Initiative)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Nur über EP-Abgeordnete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90-96% Kommissions-Follow-up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Institutionell verankert</w:t>
            </w:r>
          </w:p>
        </w:tc>
        <w:tc>
          <w:tcPr>
            <w:tcW w:type="dxa" w:w="23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Indirekt: Über EP-Kontakte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2. Europaeische Buergerinitiative (EBI)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2.1 Statistik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Seit 2012: 128-129 registrierte Initiativen. 12-14 erreichten 1 Mio. Unterschriften (Erfolgsquote ca. 9-12%). 12 erhielten formelle Kommissionsantwort; 2 in Pruefung. Viele Erfolge tangential (nicht Kernforderung der Initiative).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2.2 Beispiele mit Wirkung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Right2Water: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Ueberarbeitung der Trinkwasserrichtlinie (2020).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Ban Glyphosate: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Transparenzverordnung (2019).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End the Cage Age: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Angekuendigte Verordnung (2023).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Fur Free Europe: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Kommissionsantwort Februar 2026.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2.3 Huerden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 Mio. Unterschriften in mindestens 7 Mitgliedstaaten (laenderspezifische Quoten). Strenge Zulaessigkeitspruefung (muss in EU-Kompetenz fallen). Volle Kommissionsdiskretion — kein Automatismus zur Gesetzgebung.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0B0F"/>
          <w:sz w:val="26"/>
          <w:szCs w:val="26"/>
        </w:rPr>
        <w:t xml:space="preserve">2.4 Relevanz fuer DeineStimme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9B0"/>
          <w:sz w:val="21"/>
          <w:szCs w:val="21"/>
        </w:rPr>
        <w:t xml:space="preserve">Strategische Positionierung: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DeineStimme als Vorbereitungs-Engine fuer EBI. Die Zustaendigkeits-Engine prueft automatisch ob ein Thema in EU-Kompetenz faellt. Die Gegenvorschlag-Pflicht erzeugt reife, geclusterte Vorschlaege. Impact-Assessment liefert die Begruendung. Bei Erreichen eines Schwellenwerts: automatische Weiterleitung an EBI mit vorab strukturiertem Material.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3. Petitionsausschuss (PETI)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Ca. 1.300-1.500 Petitionen pro Jahr (2024: 1.518). Viele werden fuer unzulaessig erklaert (ausserhalb EU-Zustaendigkeit — genau das Problem das die Zustaendigkeits-Engine loest). Ergebnisse meist Einzelfall-Loesungen, Fact-finding-Missionen oder Anfragen an Kommission. Keine direkte Gesetzgebungskompetenz. Einreichung: europarl.europa.eu/petitions.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4. Konferenz zur Zukunft Europas (CoFoE)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49 Empfehlungen + 326 Massnahmen aus deliberativen Panels (2021-2022). Rat-Assessment 2023: 95% innerhalb bestehender Vertraege umsetzbar. Mehrheit bereits umgesetzt oder in Arbeit (z.B. temporaerer Schutz Ukraine, Social Pillar). Hohe Umsetzungsquote durch Institutionen-Commitment, aber keine dauerhafte Struktur.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9B0"/>
          <w:sz w:val="21"/>
          <w:szCs w:val="21"/>
        </w:rPr>
        <w:t xml:space="preserve">Modell-Uebernahme: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Das deliberative Format (zufaellig ausgeloste Buerger + strukturierte Diskussion + verbindliches Follow-up) ist das staerkste Modell fuer DeineStimme. Kombination mit digitalem Impact-Assessment + Gegenvorschlag-Pflicht wuerde die Qualitaet der Empfehlungen weiter steigern.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5. Right of Initiative (Art. 225 AEUV)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Indirektes Initiativrecht: Parlament fordert Kommission per Mehrheitsbeschluss auf, Vorschlaege vorzulegen. Aktiv und steigend genutzt (25+ Antraege letzte Legislatur). Kommission folgt in 90-96% der Faelle teilweise oder ganz. Wirksamer als EBI, weil institutionell verankert — aber nur ueber EP-Abgeordnete zugaenglich, nicht direkt durch Buerger.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6. Offene Daten und APIs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Keine oeffentliche REST-API fuer laufende Initiativen oder Petitionen. Verfuegbar: citizens-initiative.europa.eu (HTML/CSV-Exporte), EUR-Lex + data.europa.eu (Metadaten zu Folgeakten), Kaggle-Datensatz European Citizens Initiatives 2026 (Lifecycle + legislative Trail). Fuer die Zustaendigkeits-Engine nutzbar als Validierungs-Layer: Welche EBI war erfolgreich und in welchem Politikfeld?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0B0F"/>
          <w:sz w:val="32"/>
          <w:szCs w:val="32"/>
        </w:rPr>
        <w:t xml:space="preserve">7. Schlussfolgerung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Kernbefund: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Alle EU-Partizipationskanaele leiden unter hohen Huerden oder geringer Verbindlichkeit. Erfolge entstehen nur bei reifen Vorschlaegen + politischem Druck.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C9B0"/>
          <w:sz w:val="21"/>
          <w:szCs w:val="21"/>
        </w:rPr>
        <w:t xml:space="preserve">DeineStimme-Positionierung: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Nicht als Konkurrenz zu EBI/PETI, sondern als Vorbereitungs-Engine die reife, vorstrukturierte Vorschlaege liefert. Die Zustaendigkeits-Engine prueft EU-Kompetenz. Die Gegenvorschlag-Pflicht erzeugt Iteration. Das Impact-Assessment liefert Begruendung. Bei EU-Themen: automatische Weiterleitung an EBI/PETI mit vorab geclusterten Alternativen. Das maximiert die Erfolgschance innerhalb der bestehenden Kanaele.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Quellen: citizens-initiative.europa.eu, europarl.europa.eu/conference-followup, EPRS-Briefing 2025. Recherche via Grok DeepSearch (xAI). Stand: 14. April 2026.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68"/>
        <w:sz w:val="14"/>
        <w:szCs w:val="14"/>
      </w:rPr>
      <w:t xml:space="preserve">AGPL-3.0 | Seite </w:t>
    </w:r>
    <w:r>
      <w:rPr>
        <w:rFonts w:ascii="Arial" w:cs="Arial" w:eastAsia="Arial" w:hAnsi="Arial"/>
        <w:color w:val="5A60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A6068"/>
        <w:sz w:val="16"/>
        <w:szCs w:val="16"/>
      </w:rPr>
      <w:t xml:space="preserve">DeineStimme.org | EU-Partizipationskanäle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2026-04-14T09:48:21.624Z</dcterms:created>
  <dcterms:modified xsi:type="dcterms:W3CDTF">2026-04-14T09:48:21.626Z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