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color w:val="2C5F8A"/>
          <w:sz w:val="19"/>
          <w:szCs w:val="19"/>
        </w:rPr>
        <w:t xml:space="preserve">METHODOLOGY NOTE</w:t>
      </w:r>
    </w:p>
    <w:p>
      <w:pPr>
        <w:spacing w:after="100" w:line="276"/>
      </w:pPr>
      <w:r>
        <w:rPr>
          <w:rFonts w:ascii="Calibri" w:cs="Calibri" w:eastAsia="Calibri" w:hAnsi="Calibri"/>
          <w:b/>
          <w:bCs/>
          <w:color w:val="1E2F4D"/>
          <w:sz w:val="38"/>
          <w:szCs w:val="38"/>
        </w:rPr>
        <w:t xml:space="preserve">Keyword search of FATF Mutual Evaluation Reports</w:t>
      </w:r>
    </w:p>
    <w:p>
      <w:pPr>
        <w:pBdr>
          <w:bottom w:val="single" w:color="2C5F8A" w:sz="10" w:space="8"/>
        </w:pBdr>
        <w:spacing w:after="240"/>
      </w:pPr>
      <w:r>
        <w:rPr>
          <w:rFonts w:ascii="Calibri" w:cs="Calibri" w:eastAsia="Calibri" w:hAnsi="Calibri"/>
          <w:i/>
          <w:iCs/>
          <w:color w:val="54677F"/>
          <w:sz w:val="23"/>
          <w:szCs w:val="23"/>
        </w:rPr>
        <w:t xml:space="preserve">How the attached files were produced, and how to read them</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2100"/>
        <w:gridCol w:w="6972"/>
      </w:tblGrid>
      <w:tr>
        <w:tc>
          <w:tcPr>
            <w:tcW w:type="dxa" w:w="21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Prepared by</w:t>
            </w:r>
          </w:p>
        </w:tc>
        <w:tc>
          <w:tcPr>
            <w:tcW w:type="dxa" w:w="69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 your name ]</w:t>
            </w:r>
          </w:p>
        </w:tc>
      </w:tr>
      <w:tr>
        <w:tc>
          <w:tcPr>
            <w:tcW w:type="dxa" w:w="21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Date</w:t>
            </w:r>
          </w:p>
        </w:tc>
        <w:tc>
          <w:tcPr>
            <w:tcW w:type="dxa" w:w="69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 date ]</w:t>
            </w:r>
          </w:p>
        </w:tc>
      </w:tr>
      <w:tr>
        <w:tc>
          <w:tcPr>
            <w:tcW w:type="dxa" w:w="21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Search terms</w:t>
            </w:r>
          </w:p>
        </w:tc>
        <w:tc>
          <w:tcPr>
            <w:tcW w:type="dxa" w:w="69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 e.g. 45 public-private partnership names ]</w:t>
            </w:r>
          </w:p>
        </w:tc>
      </w:tr>
      <w:tr>
        <w:tc>
          <w:tcPr>
            <w:tcW w:type="dxa" w:w="21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Rounds searched</w:t>
            </w:r>
          </w:p>
        </w:tc>
        <w:tc>
          <w:tcPr>
            <w:tcW w:type="dxa" w:w="69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[ 4th round  /  5th round  /  both rounds ]</w:t>
            </w:r>
          </w:p>
        </w:tc>
      </w:tr>
      <w:tr>
        <w:tc>
          <w:tcPr>
            <w:tcW w:type="dxa" w:w="21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Source data</w:t>
            </w:r>
          </w:p>
        </w:tc>
        <w:tc>
          <w:tcPr>
            <w:tcW w:type="dxa" w:w="69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FATF Mutual Evaluation Reports, as published by the FATF/OECD data portal</w:t>
            </w:r>
          </w:p>
        </w:tc>
      </w:tr>
      <w:tr>
        <w:tc>
          <w:tcPr>
            <w:tcW w:type="dxa" w:w="21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Attached files</w:t>
            </w:r>
          </w:p>
        </w:tc>
        <w:tc>
          <w:tcPr>
            <w:tcW w:type="dxa" w:w="69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 YYYY-MM-DD_report name_FATF Search tool.xlsx  and / or  .docx ]</w:t>
            </w:r>
          </w:p>
        </w:tc>
      </w:tr>
    </w:tbl>
    <w:p>
      <w:pPr>
        <w:spacing w:after="260"/>
      </w:pPr>
    </w:p>
    <w:p>
      <w:pPr>
        <w:pStyle w:val="Heading1"/>
        <w:pBdr>
          <w:bottom w:val="single" w:color="C9D7E6" w:sz="6" w:space="6"/>
        </w:pBdr>
        <w:spacing w:after="160" w:before="320"/>
      </w:pPr>
      <w:r>
        <w:rPr>
          <w:rFonts w:ascii="Calibri" w:cs="Calibri" w:eastAsia="Calibri" w:hAnsi="Calibri"/>
          <w:b/>
          <w:bCs/>
          <w:color w:val="1E2F4D"/>
          <w:sz w:val="27"/>
          <w:szCs w:val="27"/>
        </w:rPr>
        <w:t xml:space="preserve">1.  What this is</w:t>
      </w:r>
    </w:p>
    <w:p>
      <w:pPr>
        <w:spacing w:after="120" w:line="276"/>
      </w:pPr>
      <w:r>
        <w:rPr>
          <w:rFonts w:ascii="Calibri" w:cs="Calibri" w:eastAsia="Calibri" w:hAnsi="Calibri"/>
          <w:color w:val="20262E"/>
          <w:sz w:val="21"/>
          <w:szCs w:val="21"/>
        </w:rPr>
        <w:t xml:space="preserve">The attached files are the result of a systematic keyword search across the published FATF Mutual Evaluation Reports (MERs). For every term we searched, they show every paragraph in every country's report where that term appears, together with the surrounding text, so you can judge the context without opening the original report.</w:t>
      </w:r>
    </w:p>
    <w:p>
      <w:pPr>
        <w:spacing w:after="120" w:line="276"/>
      </w:pPr>
      <w:r>
        <w:rPr>
          <w:rFonts w:ascii="Calibri" w:cs="Calibri" w:eastAsia="Calibri" w:hAnsi="Calibri"/>
          <w:color w:val="20262E"/>
          <w:sz w:val="21"/>
          <w:szCs w:val="21"/>
        </w:rPr>
        <w:t xml:space="preserve">There are two kinds of output. The Excel workbook holds every hit in filterable tables, for counting, sorting and pivoting. The Word report presents the same hits as readable quotes, grouped by country, each with a citation line, for writing from.</w:t>
      </w:r>
    </w:p>
    <w:tbl>
      <w:tblPr>
        <w:tblW w:type="dxa" w:w="9072"/>
        <w:tblBorders>
          <w:top w:val="single" w:color="C9D7E6" w:sz="4"/>
          <w:left w:val="single" w:color="2C5F8A" w:sz="18"/>
          <w:bottom w:val="single" w:color="C9D7E6" w:sz="4"/>
          <w:right w:val="single" w:color="C9D7E6" w:sz="4"/>
          <w:insideH w:val="none"/>
          <w:insideV w:val="none"/>
        </w:tblBorders>
      </w:tblPr>
      <w:tblGrid>
        <w:gridCol w:w="9072"/>
      </w:tblGrid>
      <w:tr>
        <w:tc>
          <w:tcPr>
            <w:tcW w:type="dxa" w:w="9072"/>
            <w:shd w:fill="F4F8FC" w:val="clear"/>
            <w:tcMar>
              <w:top w:type="dxa" w:w="140"/>
              <w:left w:type="dxa" w:w="180"/>
              <w:bottom w:type="dxa" w:w="140"/>
              <w:right w:type="dxa" w:w="180"/>
            </w:tcMar>
          </w:tcPr>
          <w:p>
            <w:pPr>
              <w:spacing w:after="80"/>
            </w:pPr>
            <w:r>
              <w:rPr>
                <w:rFonts w:ascii="Calibri" w:cs="Calibri" w:eastAsia="Calibri" w:hAnsi="Calibri"/>
                <w:b/>
                <w:bCs/>
                <w:color w:val="1E2F4D"/>
                <w:sz w:val="21"/>
                <w:szCs w:val="21"/>
              </w:rPr>
              <w:t xml:space="preserve">In one sentence</w:t>
            </w:r>
          </w:p>
          <w:p>
            <w:pPr>
              <w:spacing w:after="60" w:line="270"/>
            </w:pPr>
            <w:r>
              <w:rPr>
                <w:rFonts w:ascii="Calibri" w:cs="Calibri" w:eastAsia="Calibri" w:hAnsi="Calibri"/>
                <w:color w:val="20262E"/>
                <w:sz w:val="20"/>
                <w:szCs w:val="20"/>
              </w:rPr>
              <w:t xml:space="preserve">We searched the full text of FATF Mutual Evaluation Reports for an agreed list of terms, and the files list every match, with context and citation, grouped by term, round and country.</w:t>
            </w:r>
          </w:p>
        </w:tc>
      </w:tr>
    </w:tbl>
    <w:p>
      <w:pPr>
        <w:spacing w:after="200"/>
      </w:pPr>
    </w:p>
    <w:p>
      <w:pPr>
        <w:pStyle w:val="Heading1"/>
        <w:pBdr>
          <w:bottom w:val="single" w:color="C9D7E6" w:sz="6" w:space="6"/>
        </w:pBdr>
        <w:spacing w:after="160" w:before="320"/>
      </w:pPr>
      <w:r>
        <w:rPr>
          <w:rFonts w:ascii="Calibri" w:cs="Calibri" w:eastAsia="Calibri" w:hAnsi="Calibri"/>
          <w:b/>
          <w:bCs/>
          <w:color w:val="1E2F4D"/>
          <w:sz w:val="27"/>
          <w:szCs w:val="27"/>
        </w:rPr>
        <w:t xml:space="preserve">2.  What was searched</w:t>
      </w:r>
    </w:p>
    <w:p>
      <w:pPr>
        <w:spacing w:after="100" w:line="276"/>
      </w:pPr>
      <w:r>
        <w:rPr>
          <w:rFonts w:ascii="Calibri" w:cs="Calibri" w:eastAsia="Calibri" w:hAnsi="Calibri"/>
          <w:color w:val="20262E"/>
          <w:sz w:val="21"/>
          <w:szCs w:val="21"/>
        </w:rPr>
        <w:t xml:space="preserve">The FATF publishes MER content as structured data. Each report is broken into paragraphs, and every paragraph is tagged with the country, the part of the assessment it belongs to, and the relevant rating. We searched the narrative text of those paragraphs. Three parts of each report are covered:</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1900"/>
        <w:gridCol w:w="5072"/>
        <w:gridCol w:w="2100"/>
      </w:tblGrid>
      <w:tr>
        <w:trPr>
          <w:tblHeader/>
        </w:trPr>
        <w:tc>
          <w:tcPr>
            <w:tcW w:type="dxa" w:w="19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Part of the report</w:t>
            </w:r>
          </w:p>
        </w:tc>
        <w:tc>
          <w:tcPr>
            <w:tcW w:type="dxa" w:w="5072"/>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it covers</w:t>
            </w:r>
          </w:p>
        </w:tc>
        <w:tc>
          <w:tcPr>
            <w:tcW w:type="dxa" w:w="21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Rating shown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Effectiveness</w:t>
            </w:r>
          </w:p>
        </w:tc>
        <w:tc>
          <w:tcPr>
            <w:tcW w:type="dxa" w:w="5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assessors' findings on how well the country's system works in practice, organised by Immediate Outcome (IO.1 to IO.11).</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Effectiveness rating for that Immediate Outcome</w:t>
            </w:r>
          </w:p>
        </w:tc>
      </w:tr>
      <w:tr>
        <w:tc>
          <w:tcPr>
            <w:tcW w:type="dxa" w:w="1900"/>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Risk and Context</w:t>
            </w:r>
          </w:p>
        </w:tc>
        <w:tc>
          <w:tcPr>
            <w:tcW w:type="dxa" w:w="5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Background sections: the country's ML/TF risk picture, structural context, and the executive summary.</w:t>
            </w:r>
          </w:p>
        </w:tc>
        <w:tc>
          <w:tcPr>
            <w:tcW w:type="dxa" w:w="2100"/>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Not applicable — shown as NA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Technical Compliance</w:t>
            </w:r>
          </w:p>
        </w:tc>
        <w:tc>
          <w:tcPr>
            <w:tcW w:type="dxa" w:w="5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assessment of the country's laws and rules against each FATF Recommendation, criterion by criterion.</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Compliance rating for the Recommendation, plus the rating for the individual criterion</w:t>
            </w:r>
          </w:p>
        </w:tc>
      </w:tr>
    </w:tbl>
    <w:p>
      <w:pPr>
        <w:spacing w:after="140"/>
      </w:pPr>
    </w:p>
    <w:p>
      <w:pPr>
        <w:pStyle w:val="Heading2"/>
        <w:spacing w:after="100" w:before="220"/>
      </w:pPr>
      <w:r>
        <w:rPr>
          <w:rFonts w:ascii="Calibri" w:cs="Calibri" w:eastAsia="Calibri" w:hAnsi="Calibri"/>
          <w:b/>
          <w:bCs/>
          <w:color w:val="2C5F8A"/>
          <w:sz w:val="23"/>
          <w:szCs w:val="23"/>
        </w:rPr>
        <w:t xml:space="preserve">The two assessment rounds</w:t>
      </w:r>
    </w:p>
    <w:p>
      <w:pPr>
        <w:spacing w:after="100" w:line="276"/>
      </w:pPr>
      <w:r>
        <w:rPr>
          <w:rFonts w:ascii="Calibri" w:cs="Calibri" w:eastAsia="Calibri" w:hAnsi="Calibri"/>
          <w:color w:val="20262E"/>
          <w:sz w:val="21"/>
          <w:szCs w:val="21"/>
        </w:rPr>
        <w:t xml:space="preserve">The search can cover the 4th round, the 5th round, or both. The rounds differ in important ways, so they are never merged:</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2300"/>
        <w:gridCol w:w="3386"/>
        <w:gridCol w:w="3386"/>
      </w:tblGrid>
      <w:tr>
        <w:trPr>
          <w:tblHeader/>
        </w:trPr>
        <w:tc>
          <w:tcPr>
            <w:tcW w:type="dxa" w:w="23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86"/>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4th round</w:t>
            </w:r>
          </w:p>
        </w:tc>
        <w:tc>
          <w:tcPr>
            <w:tcW w:type="dxa" w:w="3386"/>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5th round</w:t>
            </w:r>
          </w:p>
        </w:tc>
      </w:tr>
      <w:tr>
        <w:tc>
          <w:tcPr>
            <w:tcW w:type="dxa" w:w="23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Methodology</w:t>
            </w:r>
          </w:p>
        </w:tc>
        <w:tc>
          <w:tcPr>
            <w:tcW w:type="dxa" w:w="3386"/>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2013 FATF Methodology</w:t>
            </w:r>
          </w:p>
        </w:tc>
        <w:tc>
          <w:tcPr>
            <w:tcW w:type="dxa" w:w="3386"/>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2022 FATF Methodology</w:t>
            </w:r>
          </w:p>
        </w:tc>
      </w:tr>
      <w:tr>
        <w:tc>
          <w:tcPr>
            <w:tcW w:type="dxa" w:w="23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Countries covered</w:t>
            </w:r>
          </w:p>
        </w:tc>
        <w:tc>
          <w:tcPr>
            <w:tcW w:type="dxa" w:w="3386"/>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Around 200 jurisdictions, assessed over many years</w:t>
            </w:r>
          </w:p>
        </w:tc>
        <w:tc>
          <w:tcPr>
            <w:tcW w:type="dxa" w:w="3386"/>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Still under way — only the reports published so far</w:t>
            </w:r>
          </w:p>
        </w:tc>
      </w:tr>
      <w:tr>
        <w:tc>
          <w:tcPr>
            <w:tcW w:type="dxa" w:w="23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Label in the files</w:t>
            </w:r>
          </w:p>
        </w:tc>
        <w:tc>
          <w:tcPr>
            <w:tcW w:type="dxa" w:w="3386"/>
            <w:tcMar>
              <w:top w:type="dxa" w:w="80"/>
              <w:left w:type="dxa" w:w="120"/>
              <w:bottom w:type="dxa" w:w="80"/>
              <w:right w:type="dxa" w:w="120"/>
            </w:tcMar>
          </w:tcPr>
          <w:p>
            <w:pPr>
              <w:spacing w:after="0" w:line="260"/>
            </w:pPr>
            <w:r>
              <w:rPr>
                <w:rFonts w:ascii="Calibri" w:cs="Calibri" w:eastAsia="Calibri" w:hAnsi="Calibri"/>
                <w:b/>
                <w:bCs/>
                <w:color w:val="5B4B8A"/>
                <w:sz w:val="19"/>
                <w:szCs w:val="19"/>
              </w:rPr>
              <w:t xml:space="preserve">4th round</w:t>
            </w:r>
          </w:p>
        </w:tc>
        <w:tc>
          <w:tcPr>
            <w:tcW w:type="dxa" w:w="3386"/>
            <w:tcMar>
              <w:top w:type="dxa" w:w="80"/>
              <w:left w:type="dxa" w:w="120"/>
              <w:bottom w:type="dxa" w:w="80"/>
              <w:right w:type="dxa" w:w="120"/>
            </w:tcMar>
          </w:tcPr>
          <w:p>
            <w:pPr>
              <w:spacing w:after="0" w:line="260"/>
            </w:pPr>
            <w:r>
              <w:rPr>
                <w:rFonts w:ascii="Calibri" w:cs="Calibri" w:eastAsia="Calibri" w:hAnsi="Calibri"/>
                <w:b/>
                <w:bCs/>
                <w:color w:val="946600"/>
                <w:sz w:val="19"/>
                <w:szCs w:val="19"/>
              </w:rPr>
              <w:t xml:space="preserve">5th round</w:t>
            </w:r>
          </w:p>
        </w:tc>
      </w:tr>
    </w:tbl>
    <w:p>
      <w:pPr>
        <w:spacing w:after="100"/>
      </w:pPr>
    </w:p>
    <w:p>
      <w:pPr>
        <w:spacing w:after="120" w:line="276"/>
      </w:pPr>
      <w:r>
        <w:rPr>
          <w:rFonts w:ascii="Calibri" w:cs="Calibri" w:eastAsia="Calibri" w:hAnsi="Calibri"/>
          <w:color w:val="20262E"/>
          <w:sz w:val="21"/>
          <w:szCs w:val="21"/>
        </w:rPr>
        <w:t xml:space="preserve">When both rounds are searched, every hit is labelled with its round, and every count and percentage is given separately for each round. Figures are never added across rounds, because the rounds cover different sets of countries under different methodologies: a combined percentage would mix a large group of older assessments with a small group of recent ones.</w:t>
      </w:r>
    </w:p>
    <w:p>
      <w:pPr>
        <w:spacing w:after="100" w:line="276"/>
      </w:pPr>
      <w:r>
        <w:rPr>
          <w:rFonts w:ascii="Calibri" w:cs="Calibri" w:eastAsia="Calibri" w:hAnsi="Calibri"/>
          <w:color w:val="20262E"/>
          <w:sz w:val="21"/>
          <w:szCs w:val="21"/>
        </w:rPr>
        <w:t xml:space="preserve">Ratings appear as their standard short codes, reproduced exactly as the FATF published them:</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3024"/>
        <w:gridCol w:w="3024"/>
        <w:gridCol w:w="3024"/>
      </w:tblGrid>
      <w:tr>
        <w:trPr>
          <w:tblHeader/>
        </w:trPr>
        <w:tc>
          <w:tcPr>
            <w:tcW w:type="dxa" w:w="3024"/>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Effectiveness</w:t>
            </w:r>
          </w:p>
        </w:tc>
        <w:tc>
          <w:tcPr>
            <w:tcW w:type="dxa" w:w="3024"/>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Technical compliance</w:t>
            </w:r>
          </w:p>
        </w:tc>
        <w:tc>
          <w:tcPr>
            <w:tcW w:type="dxa" w:w="3024"/>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Criterion</w:t>
            </w:r>
          </w:p>
        </w:tc>
      </w:tr>
      <w:tr>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HE — High</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C — Compliant</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M — Met</w:t>
            </w:r>
          </w:p>
        </w:tc>
      </w:tr>
      <w:tr>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SE — Substantial</w:t>
            </w:r>
          </w:p>
        </w:tc>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LC — Largely compliant</w:t>
            </w:r>
          </w:p>
        </w:tc>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MM — Mostly met</w:t>
            </w:r>
          </w:p>
        </w:tc>
      </w:tr>
      <w:tr>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ME — Moderate</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PC — Partially compliant</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PM — Partly met</w:t>
            </w:r>
          </w:p>
        </w:tc>
      </w:tr>
      <w:tr>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LE — Low</w:t>
            </w:r>
          </w:p>
        </w:tc>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NC — Non compliant</w:t>
            </w:r>
          </w:p>
        </w:tc>
        <w:tc>
          <w:tcPr>
            <w:tcW w:type="dxa" w:w="3024"/>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NM — Not met</w:t>
            </w:r>
          </w:p>
        </w:tc>
      </w:tr>
      <w:tr>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NA — Not applicable</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NA — Not applicable</w:t>
            </w:r>
          </w:p>
        </w:tc>
        <w:tc>
          <w:tcPr>
            <w:tcW w:type="dxa" w:w="3024"/>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NA — Not applicable</w:t>
            </w:r>
          </w:p>
        </w:tc>
      </w:tr>
    </w:tbl>
    <w:p>
      <w:r>
        <w:br w:type="page"/>
      </w:r>
    </w:p>
    <w:p>
      <w:pPr>
        <w:pStyle w:val="Heading1"/>
        <w:pBdr>
          <w:bottom w:val="single" w:color="C9D7E6" w:sz="6" w:space="6"/>
        </w:pBdr>
        <w:spacing w:after="160" w:before="320"/>
      </w:pPr>
      <w:r>
        <w:rPr>
          <w:rFonts w:ascii="Calibri" w:cs="Calibri" w:eastAsia="Calibri" w:hAnsi="Calibri"/>
          <w:b/>
          <w:bCs/>
          <w:color w:val="1E2F4D"/>
          <w:sz w:val="27"/>
          <w:szCs w:val="27"/>
        </w:rPr>
        <w:t xml:space="preserve">3.  How the search worked</w:t>
      </w:r>
    </w:p>
    <w:p>
      <w:pPr>
        <w:spacing w:after="120" w:line="276"/>
      </w:pPr>
      <w:r>
        <w:rPr>
          <w:rFonts w:ascii="Calibri" w:cs="Calibri" w:eastAsia="Calibri" w:hAnsi="Calibri"/>
          <w:color w:val="20262E"/>
          <w:sz w:val="21"/>
          <w:szCs w:val="21"/>
        </w:rPr>
        <w:t xml:space="preserve">The search is a literal text search, not an interpretation. A paragraph is only included if the term genuinely appears in it. Nothing is inferred, summarised or judged by the tool.</w:t>
      </w:r>
    </w:p>
    <w:p>
      <w:pPr>
        <w:pStyle w:val="Heading2"/>
        <w:spacing w:after="100" w:before="220"/>
      </w:pPr>
      <w:r>
        <w:rPr>
          <w:rFonts w:ascii="Calibri" w:cs="Calibri" w:eastAsia="Calibri" w:hAnsi="Calibri"/>
          <w:b/>
          <w:bCs/>
          <w:color w:val="2C5F8A"/>
          <w:sz w:val="23"/>
          <w:szCs w:val="23"/>
        </w:rPr>
        <w:t xml:space="preserve">Differences in wording are handled</w:t>
      </w:r>
    </w:p>
    <w:p>
      <w:pPr>
        <w:spacing w:after="100" w:line="276"/>
      </w:pPr>
      <w:r>
        <w:rPr>
          <w:rFonts w:ascii="Calibri" w:cs="Calibri" w:eastAsia="Calibri" w:hAnsi="Calibri"/>
          <w:color w:val="20262E"/>
          <w:sz w:val="21"/>
          <w:szCs w:val="21"/>
        </w:rPr>
        <w:t xml:space="preserve">Reports word things inconsistently, so the search deliberately ignores differences that do not change meaning:</w:t>
      </w:r>
    </w:p>
    <w:p>
      <w:pPr>
        <w:pStyle w:val="ListParagraph"/>
        <w:numPr>
          <w:ilvl w:val="0"/>
          <w:numId w:val="2"/>
        </w:numPr>
        <w:spacing w:after="70" w:line="276"/>
      </w:pPr>
      <w:r>
        <w:rPr>
          <w:rFonts w:ascii="Calibri" w:cs="Calibri" w:eastAsia="Calibri" w:hAnsi="Calibri"/>
          <w:b/>
          <w:bCs/>
          <w:color w:val="20262E"/>
          <w:sz w:val="21"/>
          <w:szCs w:val="21"/>
        </w:rPr>
        <w:t xml:space="preserve">Capitals: </w:t>
      </w:r>
      <w:r>
        <w:rPr>
          <w:rFonts w:ascii="Calibri" w:cs="Calibri" w:eastAsia="Calibri" w:hAnsi="Calibri"/>
          <w:color w:val="20262E"/>
          <w:sz w:val="21"/>
          <w:szCs w:val="21"/>
        </w:rPr>
        <w:t xml:space="preserve">“Casino” and “casino” both count.</w:t>
      </w:r>
    </w:p>
    <w:p>
      <w:pPr>
        <w:pStyle w:val="ListParagraph"/>
        <w:numPr>
          <w:ilvl w:val="0"/>
          <w:numId w:val="2"/>
        </w:numPr>
        <w:spacing w:after="70" w:line="276"/>
      </w:pPr>
      <w:r>
        <w:rPr>
          <w:rFonts w:ascii="Calibri" w:cs="Calibri" w:eastAsia="Calibri" w:hAnsi="Calibri"/>
          <w:b/>
          <w:bCs/>
          <w:color w:val="20262E"/>
          <w:sz w:val="21"/>
          <w:szCs w:val="21"/>
        </w:rPr>
        <w:t xml:space="preserve">Spacing, hyphens and punctuation: </w:t>
      </w:r>
      <w:r>
        <w:rPr>
          <w:rFonts w:ascii="Calibri" w:cs="Calibri" w:eastAsia="Calibri" w:hAnsi="Calibri"/>
          <w:color w:val="20262E"/>
          <w:sz w:val="21"/>
          <w:szCs w:val="21"/>
        </w:rPr>
        <w:t xml:space="preserve">“ship-based”, “ship based” and “ship–based” all count as the same term.</w:t>
      </w:r>
    </w:p>
    <w:p>
      <w:pPr>
        <w:pStyle w:val="ListParagraph"/>
        <w:numPr>
          <w:ilvl w:val="0"/>
          <w:numId w:val="2"/>
        </w:numPr>
        <w:spacing w:after="70" w:line="276"/>
      </w:pPr>
      <w:r>
        <w:rPr>
          <w:rFonts w:ascii="Calibri" w:cs="Calibri" w:eastAsia="Calibri" w:hAnsi="Calibri"/>
          <w:b/>
          <w:bCs/>
          <w:color w:val="20262E"/>
          <w:sz w:val="21"/>
          <w:szCs w:val="21"/>
        </w:rPr>
        <w:t xml:space="preserve">Accents: </w:t>
      </w:r>
      <w:r>
        <w:rPr>
          <w:rFonts w:ascii="Calibri" w:cs="Calibri" w:eastAsia="Calibri" w:hAnsi="Calibri"/>
          <w:color w:val="20262E"/>
          <w:sz w:val="21"/>
          <w:szCs w:val="21"/>
        </w:rPr>
        <w:t xml:space="preserve">“Comite technique” finds “Comité technique”.</w:t>
      </w:r>
    </w:p>
    <w:p>
      <w:pPr>
        <w:pStyle w:val="ListParagraph"/>
        <w:numPr>
          <w:ilvl w:val="0"/>
          <w:numId w:val="2"/>
        </w:numPr>
        <w:spacing w:after="70" w:line="276"/>
      </w:pPr>
      <w:r>
        <w:rPr>
          <w:rFonts w:ascii="Calibri" w:cs="Calibri" w:eastAsia="Calibri" w:hAnsi="Calibri"/>
          <w:b/>
          <w:bCs/>
          <w:color w:val="20262E"/>
          <w:sz w:val="21"/>
          <w:szCs w:val="21"/>
        </w:rPr>
        <w:t xml:space="preserve">Word endings: </w:t>
      </w:r>
      <w:r>
        <w:rPr>
          <w:rFonts w:ascii="Calibri" w:cs="Calibri" w:eastAsia="Calibri" w:hAnsi="Calibri"/>
          <w:color w:val="20262E"/>
          <w:sz w:val="21"/>
          <w:szCs w:val="21"/>
        </w:rPr>
        <w:t xml:space="preserve">an ordinary word also matches its longer forms — “ship” finds “ships” and “shipping”.</w:t>
      </w:r>
    </w:p>
    <w:p>
      <w:pPr>
        <w:pStyle w:val="Heading2"/>
        <w:spacing w:after="100" w:before="220"/>
      </w:pPr>
      <w:r>
        <w:rPr>
          <w:rFonts w:ascii="Calibri" w:cs="Calibri" w:eastAsia="Calibri" w:hAnsi="Calibri"/>
          <w:b/>
          <w:bCs/>
          <w:color w:val="2C5F8A"/>
          <w:sz w:val="23"/>
          <w:szCs w:val="23"/>
        </w:rPr>
        <w:t xml:space="preserve">Abbreviations and alternative names</w:t>
      </w:r>
    </w:p>
    <w:p>
      <w:pPr>
        <w:spacing w:after="100" w:line="276"/>
      </w:pPr>
      <w:r>
        <w:rPr>
          <w:rFonts w:ascii="Calibri" w:cs="Calibri" w:eastAsia="Calibri" w:hAnsi="Calibri"/>
          <w:color w:val="20262E"/>
          <w:sz w:val="21"/>
          <w:szCs w:val="21"/>
        </w:rPr>
        <w:t xml:space="preserve">Many bodies are known by more than one name. Where that is the case, all the names are treated as a single term so the results are not artificially split:</w:t>
      </w:r>
    </w:p>
    <w:p>
      <w:pPr>
        <w:pStyle w:val="ListParagraph"/>
        <w:numPr>
          <w:ilvl w:val="0"/>
          <w:numId w:val="2"/>
        </w:numPr>
        <w:spacing w:after="70" w:line="276"/>
      </w:pPr>
      <w:r>
        <w:rPr>
          <w:rFonts w:ascii="Calibri" w:cs="Calibri" w:eastAsia="Calibri" w:hAnsi="Calibri"/>
          <w:color w:val="20262E"/>
          <w:sz w:val="21"/>
          <w:szCs w:val="21"/>
        </w:rPr>
        <w:t xml:space="preserve">An abbreviation and its full name are the same term. Searching </w:t>
      </w:r>
      <w:r>
        <w:rPr>
          <w:rFonts w:ascii="Consolas" w:cs="Consolas" w:eastAsia="Consolas" w:hAnsi="Consolas"/>
          <w:color w:val="20262E"/>
          <w:sz w:val="21"/>
          <w:szCs w:val="21"/>
          <w:shd w:fill="EEF3F8" w:val="clear"/>
        </w:rPr>
        <w:t xml:space="preserve">JIG (Joint Intelligence Group)</w:t>
      </w:r>
      <w:r>
        <w:rPr>
          <w:rFonts w:ascii="Calibri" w:cs="Calibri" w:eastAsia="Calibri" w:hAnsi="Calibri"/>
          <w:color w:val="20262E"/>
          <w:sz w:val="21"/>
          <w:szCs w:val="21"/>
        </w:rPr>
        <w:t xml:space="preserve"> finds the abbreviation on its own, the full name on its own, and either combination in brackets.</w:t>
      </w:r>
    </w:p>
    <w:p>
      <w:pPr>
        <w:pStyle w:val="ListParagraph"/>
        <w:numPr>
          <w:ilvl w:val="0"/>
          <w:numId w:val="2"/>
        </w:numPr>
        <w:spacing w:after="70" w:line="276"/>
      </w:pPr>
      <w:r>
        <w:rPr>
          <w:rFonts w:ascii="Calibri" w:cs="Calibri" w:eastAsia="Calibri" w:hAnsi="Calibri"/>
          <w:color w:val="20262E"/>
          <w:sz w:val="21"/>
          <w:szCs w:val="21"/>
        </w:rPr>
        <w:t xml:space="preserve">Unrelated alternative names are joined too. A body known both as </w:t>
      </w:r>
      <w:r>
        <w:rPr>
          <w:rFonts w:ascii="Consolas" w:cs="Consolas" w:eastAsia="Consolas" w:hAnsi="Consolas"/>
          <w:color w:val="20262E"/>
          <w:sz w:val="21"/>
          <w:szCs w:val="21"/>
          <w:shd w:fill="EEF3F8" w:val="clear"/>
        </w:rPr>
        <w:t xml:space="preserve">FMLIT</w:t>
      </w:r>
      <w:r>
        <w:rPr>
          <w:rFonts w:ascii="Calibri" w:cs="Calibri" w:eastAsia="Calibri" w:hAnsi="Calibri"/>
          <w:color w:val="20262E"/>
          <w:sz w:val="21"/>
          <w:szCs w:val="21"/>
        </w:rPr>
        <w:t xml:space="preserve"> and as the fraud and money laundering intelligence taskforce is searched as one term and reported once.</w:t>
      </w:r>
    </w:p>
    <w:p>
      <w:pPr>
        <w:pStyle w:val="ListParagraph"/>
        <w:numPr>
          <w:ilvl w:val="0"/>
          <w:numId w:val="2"/>
        </w:numPr>
        <w:spacing w:after="70" w:line="276"/>
      </w:pPr>
      <w:r>
        <w:rPr>
          <w:rFonts w:ascii="Calibri" w:cs="Calibri" w:eastAsia="Calibri" w:hAnsi="Calibri"/>
          <w:color w:val="20262E"/>
          <w:sz w:val="21"/>
          <w:szCs w:val="21"/>
        </w:rPr>
        <w:t xml:space="preserve">Where a body shares its name with one in another country, the search is restricted to the relevant country, and the files say so.</w:t>
      </w:r>
    </w:p>
    <w:p>
      <w:pPr>
        <w:pStyle w:val="Heading2"/>
        <w:spacing w:after="100" w:before="220"/>
      </w:pPr>
      <w:r>
        <w:rPr>
          <w:rFonts w:ascii="Calibri" w:cs="Calibri" w:eastAsia="Calibri" w:hAnsi="Calibri"/>
          <w:b/>
          <w:bCs/>
          <w:color w:val="2C5F8A"/>
          <w:sz w:val="23"/>
          <w:szCs w:val="23"/>
        </w:rPr>
        <w:t xml:space="preserve">Guarding against false matches</w:t>
      </w:r>
    </w:p>
    <w:p>
      <w:pPr>
        <w:spacing w:after="100" w:line="276"/>
      </w:pPr>
      <w:r>
        <w:rPr>
          <w:rFonts w:ascii="Calibri" w:cs="Calibri" w:eastAsia="Calibri" w:hAnsi="Calibri"/>
          <w:color w:val="20262E"/>
          <w:sz w:val="21"/>
          <w:szCs w:val="21"/>
        </w:rPr>
        <w:t xml:space="preserve">Short abbreviations are the main risk in a search like this. ASC, for example, would otherwise match the opening letters of “ascertain” and “ascending”. To prevent this:</w:t>
      </w:r>
    </w:p>
    <w:p>
      <w:pPr>
        <w:pStyle w:val="ListParagraph"/>
        <w:numPr>
          <w:ilvl w:val="0"/>
          <w:numId w:val="2"/>
        </w:numPr>
        <w:spacing w:after="70" w:line="276"/>
      </w:pPr>
      <w:r>
        <w:rPr>
          <w:rFonts w:ascii="Calibri" w:cs="Calibri" w:eastAsia="Calibri" w:hAnsi="Calibri"/>
          <w:color w:val="20262E"/>
          <w:sz w:val="21"/>
          <w:szCs w:val="21"/>
        </w:rPr>
        <w:t xml:space="preserve">Abbreviations written in capitals are matched as complete words only, so they are never found inside a longer word. Plurals and possessives still count.</w:t>
      </w:r>
    </w:p>
    <w:p>
      <w:pPr>
        <w:pStyle w:val="ListParagraph"/>
        <w:numPr>
          <w:ilvl w:val="0"/>
          <w:numId w:val="2"/>
        </w:numPr>
        <w:spacing w:after="70" w:line="276"/>
      </w:pPr>
      <w:r>
        <w:rPr>
          <w:rFonts w:ascii="Calibri" w:cs="Calibri" w:eastAsia="Calibri" w:hAnsi="Calibri"/>
          <w:color w:val="20262E"/>
          <w:sz w:val="21"/>
          <w:szCs w:val="21"/>
        </w:rPr>
        <w:t xml:space="preserve">Where a name is also an everyday English word — Frontier, Guardian, Finest — some matches will be ordinary prose rather than the body in question. These terms are flagged, and the files show exactly which spellings were matched so you can see this at a glance.</w:t>
      </w:r>
    </w:p>
    <w:p>
      <w:pPr>
        <w:pStyle w:val="ListParagraph"/>
        <w:numPr>
          <w:ilvl w:val="0"/>
          <w:numId w:val="2"/>
        </w:numPr>
        <w:spacing w:after="70" w:line="276"/>
      </w:pPr>
      <w:r>
        <w:rPr>
          <w:rFonts w:ascii="Calibri" w:cs="Calibri" w:eastAsia="Calibri" w:hAnsi="Calibri"/>
          <w:color w:val="20262E"/>
          <w:sz w:val="21"/>
          <w:szCs w:val="21"/>
        </w:rPr>
        <w:t xml:space="preserve">Hits that were clearly irrelevant may have been removed by hand before the files were produced. Removed hits are left out of all counts and percentages as well.</w:t>
      </w:r>
    </w:p>
    <w:p>
      <w:pPr>
        <w:spacing w:after="80"/>
      </w:pPr>
    </w:p>
    <w:tbl>
      <w:tblPr>
        <w:tblW w:type="dxa" w:w="9072"/>
        <w:tblBorders>
          <w:top w:val="single" w:color="C9D7E6" w:sz="4"/>
          <w:left w:val="single" w:color="2C5F8A" w:sz="18"/>
          <w:bottom w:val="single" w:color="C9D7E6" w:sz="4"/>
          <w:right w:val="single" w:color="C9D7E6" w:sz="4"/>
          <w:insideH w:val="none"/>
          <w:insideV w:val="none"/>
        </w:tblBorders>
      </w:tblPr>
      <w:tblGrid>
        <w:gridCol w:w="9072"/>
      </w:tblGrid>
      <w:tr>
        <w:tc>
          <w:tcPr>
            <w:tcW w:type="dxa" w:w="9072"/>
            <w:shd w:fill="F4F8FC" w:val="clear"/>
            <w:tcMar>
              <w:top w:type="dxa" w:w="140"/>
              <w:left w:type="dxa" w:w="180"/>
              <w:bottom w:type="dxa" w:w="140"/>
              <w:right w:type="dxa" w:w="180"/>
            </w:tcMar>
          </w:tcPr>
          <w:p>
            <w:pPr>
              <w:spacing w:after="80"/>
            </w:pPr>
            <w:r>
              <w:rPr>
                <w:rFonts w:ascii="Calibri" w:cs="Calibri" w:eastAsia="Calibri" w:hAnsi="Calibri"/>
                <w:b/>
                <w:bCs/>
                <w:color w:val="1E2F4D"/>
                <w:sz w:val="21"/>
                <w:szCs w:val="21"/>
              </w:rPr>
              <w:t xml:space="preserve">The one thing to keep in mind</w:t>
            </w:r>
          </w:p>
          <w:p>
            <w:pPr>
              <w:spacing w:after="60" w:line="270"/>
            </w:pPr>
            <w:r>
              <w:rPr>
                <w:rFonts w:ascii="Calibri" w:cs="Calibri" w:eastAsia="Calibri" w:hAnsi="Calibri"/>
                <w:color w:val="20262E"/>
                <w:sz w:val="20"/>
                <w:szCs w:val="20"/>
              </w:rPr>
              <w:t xml:space="preserve">A match means the words appear in the report. It does not by itself mean the report is discussing the body you have in mind. For terms that are also ordinary words, read the context before relying on a hit.</w:t>
            </w:r>
          </w:p>
        </w:tc>
      </w:tr>
    </w:tbl>
    <w:p>
      <w:r>
        <w:br w:type="page"/>
      </w:r>
    </w:p>
    <w:p>
      <w:pPr>
        <w:pStyle w:val="Heading1"/>
        <w:pBdr>
          <w:bottom w:val="single" w:color="C9D7E6" w:sz="6" w:space="6"/>
        </w:pBdr>
        <w:spacing w:after="160" w:before="320"/>
      </w:pPr>
      <w:r>
        <w:rPr>
          <w:rFonts w:ascii="Calibri" w:cs="Calibri" w:eastAsia="Calibri" w:hAnsi="Calibri"/>
          <w:b/>
          <w:bCs/>
          <w:color w:val="1E2F4D"/>
          <w:sz w:val="27"/>
          <w:szCs w:val="27"/>
        </w:rPr>
        <w:t xml:space="preserve">4.  How to read the Excel workbook</w:t>
      </w:r>
    </w:p>
    <w:p>
      <w:pPr>
        <w:spacing w:after="100" w:line="276"/>
      </w:pPr>
      <w:r>
        <w:rPr>
          <w:rFonts w:ascii="Calibri" w:cs="Calibri" w:eastAsia="Calibri" w:hAnsi="Calibri"/>
          <w:color w:val="20262E"/>
          <w:sz w:val="21"/>
          <w:szCs w:val="21"/>
        </w:rPr>
        <w:t xml:space="preserve">Every block of data in the workbook is an Excel table: each column heading has a filter arrow, so you can show only one round, one table, one country or one rating in a couple of clicks. The workbook contains these sheets:</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2200"/>
        <w:gridCol w:w="6872"/>
      </w:tblGrid>
      <w:tr>
        <w:trPr>
          <w:tblHeader/>
        </w:trPr>
        <w:tc>
          <w:tcPr>
            <w:tcW w:type="dxa" w:w="22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Sheet</w:t>
            </w:r>
          </w:p>
        </w:tc>
        <w:tc>
          <w:tcPr>
            <w:tcW w:type="dxa" w:w="6872"/>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it holds</w:t>
            </w:r>
          </w:p>
        </w:tc>
      </w:tr>
      <w:tr>
        <w:tc>
          <w:tcPr>
            <w:tcW w:type="dxa" w:w="22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Summary</w:t>
            </w:r>
          </w:p>
        </w:tc>
        <w:tc>
          <w:tcPr>
            <w:tcW w:type="dxa" w:w="68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Start here. One row per search term per round, with the headline numbers. Click a term to jump to its own sheet.</w:t>
            </w:r>
          </w:p>
        </w:tc>
      </w:tr>
      <w:tr>
        <w:tc>
          <w:tcPr>
            <w:tcW w:type="dxa" w:w="22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Country matrix</w:t>
            </w:r>
          </w:p>
        </w:tc>
        <w:tc>
          <w:tcPr>
            <w:tcW w:type="dxa" w:w="68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Every jurisdiction against every term: how many paragraphs mention it. Empty means not mentioned. Useful for seeing at a glance which countries mention which terms.</w:t>
            </w:r>
          </w:p>
        </w:tc>
      </w:tr>
      <w:tr>
        <w:tc>
          <w:tcPr>
            <w:tcW w:type="dxa" w:w="22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Round comparison</w:t>
            </w:r>
          </w:p>
        </w:tc>
        <w:tc>
          <w:tcPr>
            <w:tcW w:type="dxa" w:w="68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Only when both rounds were searched. For countries with both a 4th and a 5th round report: hits in each round, and whether the term appears in both, one or neither.</w:t>
            </w:r>
          </w:p>
        </w:tc>
      </w:tr>
      <w:tr>
        <w:tc>
          <w:tcPr>
            <w:tcW w:type="dxa" w:w="22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One sheet per term</w:t>
            </w:r>
          </w:p>
        </w:tc>
        <w:tc>
          <w:tcPr>
            <w:tcW w:type="dxa" w:w="68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Every hit for that term: round, part of the report, a ready-made citation, the quote and the term in context.</w:t>
            </w:r>
          </w:p>
        </w:tc>
      </w:tr>
      <w:tr>
        <w:tc>
          <w:tcPr>
            <w:tcW w:type="dxa" w:w="22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All hits</w:t>
            </w:r>
          </w:p>
        </w:tc>
        <w:tc>
          <w:tcPr>
            <w:tcW w:type="dxa" w:w="68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Every hit for every term in one flat table — the easiest sheet for filtering across terms or building a pivot table.</w:t>
            </w:r>
          </w:p>
        </w:tc>
      </w:tr>
    </w:tbl>
    <w:p>
      <w:pPr>
        <w:spacing w:after="160"/>
      </w:pPr>
    </w:p>
    <w:p>
      <w:pPr>
        <w:pStyle w:val="Heading2"/>
        <w:spacing w:after="100" w:before="220"/>
      </w:pPr>
      <w:r>
        <w:rPr>
          <w:rFonts w:ascii="Calibri" w:cs="Calibri" w:eastAsia="Calibri" w:hAnsi="Calibri"/>
          <w:b/>
          <w:bCs/>
          <w:color w:val="2C5F8A"/>
          <w:sz w:val="23"/>
          <w:szCs w:val="23"/>
        </w:rPr>
        <w:t xml:space="preserve">Summary sheet columns</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3000"/>
        <w:gridCol w:w="6072"/>
      </w:tblGrid>
      <w:tr>
        <w:trPr>
          <w:tblHeader/>
        </w:trPr>
        <w:tc>
          <w:tcPr>
            <w:tcW w:type="dxa" w:w="30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Column</w:t>
            </w:r>
          </w:p>
        </w:tc>
        <w:tc>
          <w:tcPr>
            <w:tcW w:type="dxa" w:w="6072"/>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it tells you</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Search term / Round</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term and the round the row describes. Filter the Round column to see one round.</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Total hits</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Number of paragraphs containing the term in that round.</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Effectiveness / Risk and Context / Technical Compliance</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How those hits split across the three parts of the reports.</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Jurisdictions mentioned / in scope</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How many countries mention the term at least once, out of how many were searched in that round.</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Coverage %</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share of countries in that round whose report mentions the term.</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Jurisdictions list</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Every country, with its number of hits.</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Equivalent terms searched / Restricted to</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Every alternative name that counted as this term, and any country the term was limited to.</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Matched in text as</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spellings actually found, with counts — the quickest way to see whether hits are the body you meant or ordinary prose.</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How it was searched / warnings</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A plain-English record of how the term was treated.</w:t>
            </w:r>
          </w:p>
        </w:tc>
      </w:tr>
    </w:tbl>
    <w:p>
      <w:pPr>
        <w:spacing w:after="160"/>
      </w:pPr>
    </w:p>
    <w:p>
      <w:pPr>
        <w:pStyle w:val="Heading2"/>
        <w:spacing w:after="100" w:before="220"/>
      </w:pPr>
      <w:r>
        <w:rPr>
          <w:rFonts w:ascii="Calibri" w:cs="Calibri" w:eastAsia="Calibri" w:hAnsi="Calibri"/>
          <w:b/>
          <w:bCs/>
          <w:color w:val="2C5F8A"/>
          <w:sz w:val="23"/>
          <w:szCs w:val="23"/>
        </w:rPr>
        <w:t xml:space="preserve">Term sheet columns</w:t>
      </w:r>
    </w:p>
    <w:tbl>
      <w:tblPr>
        <w:tblW w:type="dxa" w:w="9072"/>
        <w:tblBorders>
          <w:top w:val="single" w:color="C9D7E6" w:sz="4"/>
          <w:left w:val="single" w:color="C9D7E6" w:sz="4"/>
          <w:bottom w:val="single" w:color="C9D7E6" w:sz="4"/>
          <w:right w:val="single" w:color="C9D7E6" w:sz="4"/>
          <w:insideH w:val="single" w:color="C9D7E6" w:sz="4"/>
          <w:insideV w:val="single" w:color="C9D7E6" w:sz="4"/>
        </w:tblBorders>
      </w:tblPr>
      <w:tblGrid>
        <w:gridCol w:w="3000"/>
        <w:gridCol w:w="6072"/>
      </w:tblGrid>
      <w:tr>
        <w:trPr>
          <w:tblHeader/>
        </w:trPr>
        <w:tc>
          <w:tcPr>
            <w:tcW w:type="dxa" w:w="3000"/>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Column</w:t>
            </w:r>
          </w:p>
        </w:tc>
        <w:tc>
          <w:tcPr>
            <w:tcW w:type="dxa" w:w="6072"/>
            <w:shd w:fill="1E2F4D"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it tells you</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Round</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4th round or 5th round, colour-coded.</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Table</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Which part of the report the paragraph comes from (colour-coded).</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Reference (for citing)</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Ready-made citation, e.g. “Austria, 5th round MER, IO.4 (rated ME)”.</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Jurisdiction / MEASURE / Indicator</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country, the Immediate Outcome or Recommendation code, and the specific section or criterion.</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Rating / Criteria rating</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rating for that outcome or Recommendation, and for technical compliance the individual criterion. NA where none applies.</w:t>
            </w:r>
          </w:p>
        </w:tc>
      </w:tr>
      <w:tr>
        <w:tc>
          <w:tcPr>
            <w:tcW w:type="dxa" w:w="3000"/>
            <w:shd w:fill="F4F8FC" w:val="clear"/>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Quote</w:t>
            </w:r>
          </w:p>
        </w:tc>
        <w:tc>
          <w:tcPr>
            <w:tcW w:type="dxa" w:w="6072"/>
            <w:shd w:fill="F4F8FC" w:val="clear"/>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full paragraph as published — or only the sentence containing the term, if the shorter option was chosen — with the term in bold.</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20262E"/>
                <w:sz w:val="19"/>
                <w:szCs w:val="19"/>
              </w:rPr>
              <w:t xml:space="preserve">Term in context</w:t>
            </w:r>
          </w:p>
        </w:tc>
        <w:tc>
          <w:tcPr>
            <w:tcW w:type="dxa" w:w="6072"/>
            <w:tcMar>
              <w:top w:type="dxa" w:w="80"/>
              <w:left w:type="dxa" w:w="120"/>
              <w:bottom w:type="dxa" w:w="80"/>
              <w:right w:type="dxa" w:w="120"/>
            </w:tcMar>
          </w:tcPr>
          <w:p>
            <w:pPr>
              <w:spacing w:after="0" w:line="260"/>
            </w:pPr>
            <w:r>
              <w:rPr>
                <w:rFonts w:ascii="Calibri" w:cs="Calibri" w:eastAsia="Calibri" w:hAnsi="Calibri"/>
                <w:b w:val="false"/>
                <w:bCs w:val="false"/>
                <w:color w:val="20262E"/>
                <w:sz w:val="19"/>
                <w:szCs w:val="19"/>
              </w:rPr>
              <w:t xml:space="preserve">The term with roughly 250 characters either side — read this column first.</w:t>
            </w:r>
          </w:p>
        </w:tc>
      </w:tr>
    </w:tbl>
    <w:p>
      <w:r>
        <w:br w:type="page"/>
      </w:r>
    </w:p>
    <w:p>
      <w:pPr>
        <w:pStyle w:val="Heading1"/>
        <w:pBdr>
          <w:bottom w:val="single" w:color="C9D7E6" w:sz="6" w:space="6"/>
        </w:pBdr>
        <w:spacing w:after="160" w:before="320"/>
      </w:pPr>
      <w:r>
        <w:rPr>
          <w:rFonts w:ascii="Calibri" w:cs="Calibri" w:eastAsia="Calibri" w:hAnsi="Calibri"/>
          <w:b/>
          <w:bCs/>
          <w:color w:val="1E2F4D"/>
          <w:sz w:val="27"/>
          <w:szCs w:val="27"/>
        </w:rPr>
        <w:t xml:space="preserve">5.  How to read the Word report</w:t>
      </w:r>
    </w:p>
    <w:p>
      <w:pPr>
        <w:spacing w:after="100" w:line="276"/>
      </w:pPr>
      <w:r>
        <w:rPr>
          <w:rFonts w:ascii="Calibri" w:cs="Calibri" w:eastAsia="Calibri" w:hAnsi="Calibri"/>
          <w:color w:val="20262E"/>
          <w:sz w:val="21"/>
          <w:szCs w:val="21"/>
        </w:rPr>
        <w:t xml:space="preserve">The Word report is designed to be read and quoted from. It opens with an overview table of every term; each term then has its own section containing:</w:t>
      </w:r>
    </w:p>
    <w:p>
      <w:pPr>
        <w:pStyle w:val="ListParagraph"/>
        <w:numPr>
          <w:ilvl w:val="0"/>
          <w:numId w:val="2"/>
        </w:numPr>
        <w:spacing w:after="70" w:line="276"/>
      </w:pPr>
      <w:r>
        <w:rPr>
          <w:rFonts w:ascii="Calibri" w:cs="Calibri" w:eastAsia="Calibri" w:hAnsi="Calibri"/>
          <w:color w:val="20262E"/>
          <w:sz w:val="21"/>
          <w:szCs w:val="21"/>
        </w:rPr>
        <w:t xml:space="preserve">a statistics table, with one column per round when both rounds were searched;</w:t>
      </w:r>
    </w:p>
    <w:p>
      <w:pPr>
        <w:pStyle w:val="ListParagraph"/>
        <w:numPr>
          <w:ilvl w:val="0"/>
          <w:numId w:val="2"/>
        </w:numPr>
        <w:spacing w:after="70" w:line="276"/>
      </w:pPr>
      <w:r>
        <w:rPr>
          <w:rFonts w:ascii="Calibri" w:cs="Calibri" w:eastAsia="Calibri" w:hAnsi="Calibri"/>
          <w:color w:val="20262E"/>
          <w:sz w:val="21"/>
          <w:szCs w:val="21"/>
        </w:rPr>
        <w:t xml:space="preserve">when both rounds were searched, a short table of the countries assessed in both rounds and whether the term appears in each;</w:t>
      </w:r>
    </w:p>
    <w:p>
      <w:pPr>
        <w:pStyle w:val="ListParagraph"/>
        <w:numPr>
          <w:ilvl w:val="0"/>
          <w:numId w:val="2"/>
        </w:numPr>
        <w:spacing w:after="70" w:line="276"/>
      </w:pPr>
      <w:r>
        <w:rPr>
          <w:rFonts w:ascii="Calibri" w:cs="Calibri" w:eastAsia="Calibri" w:hAnsi="Calibri"/>
          <w:color w:val="20262E"/>
          <w:sz w:val="21"/>
          <w:szCs w:val="21"/>
        </w:rPr>
        <w:t xml:space="preserve">the mentions themselves, grouped by round and then by country. Every quote starts with a coloured round tag and a reference line giving the Immediate Outcome or Recommendation, the rating and the section, so it can be cited directly.</w:t>
      </w:r>
    </w:p>
    <w:p>
      <w:pPr>
        <w:spacing w:after="160" w:line="276"/>
      </w:pPr>
      <w:r>
        <w:rPr>
          <w:rFonts w:ascii="Calibri" w:cs="Calibri" w:eastAsia="Calibri" w:hAnsi="Calibri"/>
          <w:color w:val="20262E"/>
          <w:sz w:val="21"/>
          <w:szCs w:val="21"/>
        </w:rPr>
        <w:t xml:space="preserve">In Word, View → Navigation Pane lists every section, which makes long reports quick to move around.</w:t>
      </w:r>
    </w:p>
    <w:tbl>
      <w:tblPr>
        <w:tblW w:type="dxa" w:w="9072"/>
        <w:tblBorders>
          <w:top w:val="single" w:color="C9D7E6" w:sz="4"/>
          <w:left w:val="single" w:color="2C5F8A" w:sz="18"/>
          <w:bottom w:val="single" w:color="C9D7E6" w:sz="4"/>
          <w:right w:val="single" w:color="C9D7E6" w:sz="4"/>
          <w:insideH w:val="none"/>
          <w:insideV w:val="none"/>
        </w:tblBorders>
      </w:tblPr>
      <w:tblGrid>
        <w:gridCol w:w="9072"/>
      </w:tblGrid>
      <w:tr>
        <w:tc>
          <w:tcPr>
            <w:tcW w:type="dxa" w:w="9072"/>
            <w:shd w:fill="F4F8FC" w:val="clear"/>
            <w:tcMar>
              <w:top w:type="dxa" w:w="140"/>
              <w:left w:type="dxa" w:w="180"/>
              <w:bottom w:type="dxa" w:w="140"/>
              <w:right w:type="dxa" w:w="180"/>
            </w:tcMar>
          </w:tcPr>
          <w:p>
            <w:pPr>
              <w:spacing w:after="80"/>
            </w:pPr>
            <w:r>
              <w:rPr>
                <w:rFonts w:ascii="Calibri" w:cs="Calibri" w:eastAsia="Calibri" w:hAnsi="Calibri"/>
                <w:b/>
                <w:bCs/>
                <w:color w:val="1E2F4D"/>
                <w:sz w:val="21"/>
                <w:szCs w:val="21"/>
              </w:rPr>
              <w:t xml:space="preserve">Suggested way to work through the results</w:t>
            </w:r>
          </w:p>
          <w:p>
            <w:pPr>
              <w:spacing w:after="60" w:line="270"/>
            </w:pPr>
            <w:r>
              <w:rPr>
                <w:rFonts w:ascii="Calibri" w:cs="Calibri" w:eastAsia="Calibri" w:hAnsi="Calibri"/>
                <w:color w:val="20262E"/>
                <w:sz w:val="20"/>
                <w:szCs w:val="20"/>
              </w:rPr>
              <w:t xml:space="preserve">1.  Open the Summary sheet (or the Word overview) and look at coverage for each round.</w:t>
            </w:r>
          </w:p>
          <w:p>
            <w:pPr>
              <w:spacing w:after="60" w:line="270"/>
            </w:pPr>
            <w:r>
              <w:rPr>
                <w:rFonts w:ascii="Calibri" w:cs="Calibri" w:eastAsia="Calibri" w:hAnsi="Calibri"/>
                <w:color w:val="20262E"/>
                <w:sz w:val="20"/>
                <w:szCs w:val="20"/>
              </w:rPr>
              <w:t xml:space="preserve">2.  Check “Matched in text as” to confirm the hits are the right thing, especially for everyday words.</w:t>
            </w:r>
          </w:p>
          <w:p>
            <w:pPr>
              <w:spacing w:after="60" w:line="270"/>
            </w:pPr>
            <w:r>
              <w:rPr>
                <w:rFonts w:ascii="Calibri" w:cs="Calibri" w:eastAsia="Calibri" w:hAnsi="Calibri"/>
                <w:color w:val="20262E"/>
                <w:sz w:val="20"/>
                <w:szCs w:val="20"/>
              </w:rPr>
              <w:t xml:space="preserve">3.  Open the term you care about and scan the context column, filtering by Round if you only need one round.</w:t>
            </w:r>
          </w:p>
          <w:p>
            <w:pPr>
              <w:spacing w:after="60" w:line="270"/>
            </w:pPr>
            <w:r>
              <w:rPr>
                <w:rFonts w:ascii="Calibri" w:cs="Calibri" w:eastAsia="Calibri" w:hAnsi="Calibri"/>
                <w:color w:val="20262E"/>
                <w:sz w:val="20"/>
                <w:szCs w:val="20"/>
              </w:rPr>
              <w:t xml:space="preserve">4.  Where the context looks relevant, read the full quote, and use the Reference column for the citation.</w:t>
            </w:r>
          </w:p>
          <w:p>
            <w:pPr>
              <w:spacing w:after="60" w:line="270"/>
            </w:pPr>
            <w:r>
              <w:rPr>
                <w:rFonts w:ascii="Calibri" w:cs="Calibri" w:eastAsia="Calibri" w:hAnsi="Calibri"/>
                <w:color w:val="20262E"/>
                <w:sz w:val="20"/>
                <w:szCs w:val="20"/>
              </w:rPr>
              <w:t xml:space="preserve">5.  For the wider discussion, go to the published MER using the country, round and Measure given.</w:t>
            </w:r>
          </w:p>
        </w:tc>
      </w:tr>
    </w:tbl>
    <w:p>
      <w:pPr>
        <w:pStyle w:val="Heading1"/>
        <w:pBdr>
          <w:bottom w:val="single" w:color="C9D7E6" w:sz="6" w:space="6"/>
        </w:pBdr>
        <w:spacing w:after="160" w:before="320"/>
      </w:pPr>
      <w:r>
        <w:rPr>
          <w:rFonts w:ascii="Calibri" w:cs="Calibri" w:eastAsia="Calibri" w:hAnsi="Calibri"/>
          <w:b/>
          <w:bCs/>
          <w:color w:val="1E2F4D"/>
          <w:sz w:val="27"/>
          <w:szCs w:val="27"/>
        </w:rPr>
        <w:t xml:space="preserve">6.  What this does and does not tell you</w:t>
      </w:r>
    </w:p>
    <w:p>
      <w:pPr>
        <w:pStyle w:val="Heading2"/>
        <w:spacing w:after="100" w:before="220"/>
      </w:pPr>
      <w:r>
        <w:rPr>
          <w:rFonts w:ascii="Calibri" w:cs="Calibri" w:eastAsia="Calibri" w:hAnsi="Calibri"/>
          <w:b/>
          <w:bCs/>
          <w:color w:val="2C5F8A"/>
          <w:sz w:val="23"/>
          <w:szCs w:val="23"/>
        </w:rPr>
        <w:t xml:space="preserve">What it is good for</w:t>
      </w:r>
    </w:p>
    <w:p>
      <w:pPr>
        <w:pStyle w:val="ListParagraph"/>
        <w:numPr>
          <w:ilvl w:val="0"/>
          <w:numId w:val="2"/>
        </w:numPr>
        <w:spacing w:after="70" w:line="276"/>
      </w:pPr>
      <w:r>
        <w:rPr>
          <w:rFonts w:ascii="Calibri" w:cs="Calibri" w:eastAsia="Calibri" w:hAnsi="Calibri"/>
          <w:color w:val="20262E"/>
          <w:sz w:val="21"/>
          <w:szCs w:val="21"/>
        </w:rPr>
        <w:t xml:space="preserve">Establishing which countries mention a given body or concept, and how often, in each round.</w:t>
      </w:r>
    </w:p>
    <w:p>
      <w:pPr>
        <w:pStyle w:val="ListParagraph"/>
        <w:numPr>
          <w:ilvl w:val="0"/>
          <w:numId w:val="2"/>
        </w:numPr>
        <w:spacing w:after="70" w:line="276"/>
      </w:pPr>
      <w:r>
        <w:rPr>
          <w:rFonts w:ascii="Calibri" w:cs="Calibri" w:eastAsia="Calibri" w:hAnsi="Calibri"/>
          <w:color w:val="20262E"/>
          <w:sz w:val="21"/>
          <w:szCs w:val="21"/>
        </w:rPr>
        <w:t xml:space="preserve">Finding the exact wording assessors used, quickly, without reading whole reports.</w:t>
      </w:r>
    </w:p>
    <w:p>
      <w:pPr>
        <w:pStyle w:val="ListParagraph"/>
        <w:numPr>
          <w:ilvl w:val="0"/>
          <w:numId w:val="2"/>
        </w:numPr>
        <w:spacing w:after="70" w:line="276"/>
      </w:pPr>
      <w:r>
        <w:rPr>
          <w:rFonts w:ascii="Calibri" w:cs="Calibri" w:eastAsia="Calibri" w:hAnsi="Calibri"/>
          <w:color w:val="20262E"/>
          <w:sz w:val="21"/>
          <w:szCs w:val="21"/>
        </w:rPr>
        <w:t xml:space="preserve">Seeing how the same countries were written about in the 4th and 5th rounds.</w:t>
      </w:r>
    </w:p>
    <w:p>
      <w:pPr>
        <w:pStyle w:val="ListParagraph"/>
        <w:numPr>
          <w:ilvl w:val="0"/>
          <w:numId w:val="2"/>
        </w:numPr>
        <w:spacing w:after="70" w:line="276"/>
      </w:pPr>
      <w:r>
        <w:rPr>
          <w:rFonts w:ascii="Calibri" w:cs="Calibri" w:eastAsia="Calibri" w:hAnsi="Calibri"/>
          <w:color w:val="20262E"/>
          <w:sz w:val="21"/>
          <w:szCs w:val="21"/>
        </w:rPr>
        <w:t xml:space="preserve">Producing a defensible, repeatable evidence base: the same terms can be re-run at any time and will give the same answer.</w:t>
      </w:r>
    </w:p>
    <w:p>
      <w:pPr>
        <w:pStyle w:val="Heading2"/>
        <w:spacing w:after="100" w:before="220"/>
      </w:pPr>
      <w:r>
        <w:rPr>
          <w:rFonts w:ascii="Calibri" w:cs="Calibri" w:eastAsia="Calibri" w:hAnsi="Calibri"/>
          <w:b/>
          <w:bCs/>
          <w:color w:val="2C5F8A"/>
          <w:sz w:val="23"/>
          <w:szCs w:val="23"/>
        </w:rPr>
        <w:t xml:space="preserve">What it cannot tell you</w:t>
      </w:r>
    </w:p>
    <w:p>
      <w:pPr>
        <w:pStyle w:val="ListParagraph"/>
        <w:numPr>
          <w:ilvl w:val="0"/>
          <w:numId w:val="2"/>
        </w:numPr>
        <w:spacing w:after="70" w:line="276"/>
      </w:pPr>
      <w:r>
        <w:rPr>
          <w:rFonts w:ascii="Calibri" w:cs="Calibri" w:eastAsia="Calibri" w:hAnsi="Calibri"/>
          <w:b/>
          <w:bCs/>
          <w:color w:val="20262E"/>
          <w:sz w:val="21"/>
          <w:szCs w:val="21"/>
        </w:rPr>
        <w:t xml:space="preserve">Absence of a hit is not absence of the thing. </w:t>
      </w:r>
      <w:r>
        <w:rPr>
          <w:rFonts w:ascii="Calibri" w:cs="Calibri" w:eastAsia="Calibri" w:hAnsi="Calibri"/>
          <w:color w:val="20262E"/>
          <w:sz w:val="21"/>
          <w:szCs w:val="21"/>
        </w:rPr>
        <w:t xml:space="preserve">A country may have a body or framework that its report simply does not name, or names differently from anything searched. A nil return means the words were not used, nothing more.</w:t>
      </w:r>
    </w:p>
    <w:p>
      <w:pPr>
        <w:pStyle w:val="ListParagraph"/>
        <w:numPr>
          <w:ilvl w:val="0"/>
          <w:numId w:val="2"/>
        </w:numPr>
        <w:spacing w:after="70" w:line="276"/>
      </w:pPr>
      <w:r>
        <w:rPr>
          <w:rFonts w:ascii="Calibri" w:cs="Calibri" w:eastAsia="Calibri" w:hAnsi="Calibri"/>
          <w:b/>
          <w:bCs/>
          <w:color w:val="20262E"/>
          <w:sz w:val="21"/>
          <w:szCs w:val="21"/>
        </w:rPr>
        <w:t xml:space="preserve">It does not read for meaning. </w:t>
      </w:r>
      <w:r>
        <w:rPr>
          <w:rFonts w:ascii="Calibri" w:cs="Calibri" w:eastAsia="Calibri" w:hAnsi="Calibri"/>
          <w:color w:val="20262E"/>
          <w:sz w:val="21"/>
          <w:szCs w:val="21"/>
        </w:rPr>
        <w:t xml:space="preserve">A hit may be a passing reference, a recommendation that something be created, or a criticism. Only the context tells you which.</w:t>
      </w:r>
    </w:p>
    <w:p>
      <w:pPr>
        <w:pStyle w:val="ListParagraph"/>
        <w:numPr>
          <w:ilvl w:val="0"/>
          <w:numId w:val="2"/>
        </w:numPr>
        <w:spacing w:after="70" w:line="276"/>
      </w:pPr>
      <w:r>
        <w:rPr>
          <w:rFonts w:ascii="Calibri" w:cs="Calibri" w:eastAsia="Calibri" w:hAnsi="Calibri"/>
          <w:b/>
          <w:bCs/>
          <w:color w:val="20262E"/>
          <w:sz w:val="21"/>
          <w:szCs w:val="21"/>
        </w:rPr>
        <w:t xml:space="preserve">Coverage percentages depend on the terms chosen. </w:t>
      </w:r>
      <w:r>
        <w:rPr>
          <w:rFonts w:ascii="Calibri" w:cs="Calibri" w:eastAsia="Calibri" w:hAnsi="Calibri"/>
          <w:color w:val="20262E"/>
          <w:sz w:val="21"/>
          <w:szCs w:val="21"/>
        </w:rPr>
        <w:t xml:space="preserve">They describe the search, not the world; adding a name would change the figure.</w:t>
      </w:r>
    </w:p>
    <w:p>
      <w:pPr>
        <w:pStyle w:val="ListParagraph"/>
        <w:numPr>
          <w:ilvl w:val="0"/>
          <w:numId w:val="2"/>
        </w:numPr>
        <w:spacing w:after="70" w:line="276"/>
      </w:pPr>
      <w:r>
        <w:rPr>
          <w:rFonts w:ascii="Calibri" w:cs="Calibri" w:eastAsia="Calibri" w:hAnsi="Calibri"/>
          <w:b/>
          <w:bCs/>
          <w:color w:val="20262E"/>
          <w:sz w:val="21"/>
          <w:szCs w:val="21"/>
        </w:rPr>
        <w:t xml:space="preserve">The two rounds are not directly comparable. </w:t>
      </w:r>
      <w:r>
        <w:rPr>
          <w:rFonts w:ascii="Calibri" w:cs="Calibri" w:eastAsia="Calibri" w:hAnsi="Calibri"/>
          <w:color w:val="20262E"/>
          <w:sz w:val="21"/>
          <w:szCs w:val="21"/>
        </w:rPr>
        <w:t xml:space="preserve">They use different methodologies and cover different sets of countries, and the 5th round is still under way. A term appearing in one round but not the other can reflect the methodology or the wording as much as any change in the country. Compare the paragraphs, not only the counts.</w:t>
      </w:r>
    </w:p>
    <w:p>
      <w:pPr>
        <w:pStyle w:val="ListParagraph"/>
        <w:numPr>
          <w:ilvl w:val="0"/>
          <w:numId w:val="2"/>
        </w:numPr>
        <w:spacing w:after="70" w:line="276"/>
      </w:pPr>
      <w:r>
        <w:rPr>
          <w:rFonts w:ascii="Calibri" w:cs="Calibri" w:eastAsia="Calibri" w:hAnsi="Calibri"/>
          <w:b/>
          <w:bCs/>
          <w:color w:val="20262E"/>
          <w:sz w:val="21"/>
          <w:szCs w:val="21"/>
        </w:rPr>
        <w:t xml:space="preserve">It reflects the reports as published at the date above. </w:t>
      </w:r>
      <w:r>
        <w:rPr>
          <w:rFonts w:ascii="Calibri" w:cs="Calibri" w:eastAsia="Calibri" w:hAnsi="Calibri"/>
          <w:color w:val="20262E"/>
          <w:sz w:val="21"/>
          <w:szCs w:val="21"/>
        </w:rPr>
        <w:t xml:space="preserve">Later assessments are not included.</w:t>
      </w:r>
    </w:p>
    <w:p>
      <w:pPr>
        <w:pStyle w:val="Heading1"/>
        <w:pBdr>
          <w:bottom w:val="single" w:color="C9D7E6" w:sz="6" w:space="6"/>
        </w:pBdr>
        <w:spacing w:after="160" w:before="320"/>
      </w:pPr>
      <w:r>
        <w:rPr>
          <w:rFonts w:ascii="Calibri" w:cs="Calibri" w:eastAsia="Calibri" w:hAnsi="Calibri"/>
          <w:b/>
          <w:bCs/>
          <w:color w:val="1E2F4D"/>
          <w:sz w:val="27"/>
          <w:szCs w:val="27"/>
        </w:rPr>
        <w:t xml:space="preserve">7.  Reproducing or extending this</w:t>
      </w:r>
    </w:p>
    <w:p>
      <w:pPr>
        <w:spacing w:after="120" w:line="276"/>
      </w:pPr>
      <w:r>
        <w:rPr>
          <w:rFonts w:ascii="Calibri" w:cs="Calibri" w:eastAsia="Calibri" w:hAnsi="Calibri"/>
          <w:color w:val="20262E"/>
          <w:sz w:val="21"/>
          <w:szCs w:val="21"/>
        </w:rPr>
        <w:t xml:space="preserve">The search was run with an internal tool that reads the published FATF data directly. If you would like additional terms searched, a different round, or the results narrowed to particular countries, Immediate Outcomes or ratings, send the terms across and the files can be regenerated. Please quote the file name you are working from, so it is clear which run is being discussed.</w:t>
      </w:r>
    </w:p>
    <w:p>
      <w:pPr>
        <w:spacing w:after="200"/>
      </w:pPr>
    </w:p>
    <w:p>
      <w:pPr>
        <w:pBdr>
          <w:top w:val="single" w:color="C9D7E6" w:sz="6" w:space="8"/>
        </w:pBdr>
        <w:spacing w:before="120"/>
      </w:pPr>
      <w:r>
        <w:rPr>
          <w:rFonts w:ascii="Calibri" w:cs="Calibri" w:eastAsia="Calibri" w:hAnsi="Calibri"/>
          <w:i/>
          <w:iCs/>
          <w:color w:val="54677F"/>
          <w:sz w:val="20"/>
          <w:szCs w:val="20"/>
        </w:rPr>
        <w:t xml:space="preserve">Questions on any of the above, or on a specific result, are welcome — please ask rather than assume a hit is or is not relevant.</w:t>
      </w:r>
    </w:p>
    <w:sectPr>
      <w:footerReference w:type="default" r:id="rId7"/>
      <w:pgSz w:w="11906" w:h="16838" w:orient="portrait"/>
      <w:pgMar w:top="1440" w:right="1417" w:bottom="13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4677F"/>
        <w:sz w:val="17"/>
        <w:szCs w:val="17"/>
      </w:rPr>
      <w:t xml:space="preserve">FATF Mutual Evaluation keyword search  |  methodology note  |  page </w:t>
    </w:r>
    <w:r>
      <w:rPr>
        <w:rFonts w:ascii="Calibri" w:cs="Calibri" w:eastAsia="Calibri" w:hAnsi="Calibri"/>
        <w:color w:val="5467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C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2026-09-30T10:44:24.554Z</dcterms:created>
  <dcterms:modified xsi:type="dcterms:W3CDTF">2026-09-30T10:44:24.564Z</dcterms:modified>
</cp:coreProperties>
</file>

<file path=docProps/custom.xml><?xml version="1.0" encoding="utf-8"?>
<Properties xmlns="http://schemas.openxmlformats.org/officeDocument/2006/custom-properties" xmlns:vt="http://schemas.openxmlformats.org/officeDocument/2006/docPropsVTypes"/>
</file>