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pPr>
        <w:pStyle w:val="Heading2"/>
      </w:pPr>
      <w:r>
        <w:t>Financial Highlights</w:t>
      </w:r>
    </w:p>
    <w:p>
      <w:r>
        <w:t xml:space="preserve">This is </w:t>
      </w:r>
      <w:r>
        <w:rPr>
          <w:b/>
        </w:rPr>
        <w:t>BoldMarker</w:t>
      </w:r>
      <w:r>
        <w:t xml:space="preserve"> and </w:t>
      </w:r>
      <w:r>
        <w:rPr>
          <w:i/>
        </w:rPr>
        <w:t>ItalicMarker</w:t>
      </w:r>
      <w:r>
        <w:t xml:space="preserve"> in one sentence.</w:t>
      </w:r>
    </w:p>
    <w:p>
      <w:r>
        <w:rPr>
          <w:color w:val="C00000"/>
          <w:sz w:val="28"/>
        </w:rPr>
        <w:t>ColoredMarker</w:t>
      </w:r>
    </w:p>
    <w:p>
      <w:r>
        <w:t>Escaping check: 5 &lt; 10 &amp; "quoted"</w:t>
      </w:r>
    </w:p>
    <w:p>
      <w:pPr>
        <w:pStyle w:val="ListBullet"/>
      </w:pPr>
      <w:r>
        <w:t>BulletAlpha</w:t>
      </w:r>
    </w:p>
    <w:p>
      <w:pPr>
        <w:pStyle w:val="ListBullet"/>
      </w:pPr>
      <w:r>
        <w:t>BulletBeta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TableCellMarker</w:t>
            </w:r>
          </w:p>
        </w:tc>
        <w:tc>
          <w:tcPr>
            <w:tcW w:type="dxa" w:w="2880"/>
          </w:tcPr>
          <w:p>
            <w:r>
              <w:t>1250000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</w:tbl>
    <w:p>
      <w:r>
        <w:t xml:space="preserve">See the </w:t>
      </w:r>
      <w:hyperlink r:id="rId9">
        <w:r>
          <w:rPr>
            <w:color w:val="0563C1"/>
            <w:u w:val="single"/>
          </w:rPr>
          <w:t>ExampleLink</w:t>
        </w:r>
      </w:hyperlink>
      <w:r>
        <w:t xml:space="preserve"> for details.</w:t>
      </w:r>
    </w:p>
    <w:p>
      <w:r>
        <w:t>Chart below: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 Fixture</dc:title>
  <dc:subject>Testing</dc:subject>
  <dc:creator>Fixture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