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Calibri" w:cs="Arial" w:hAnsi="Calibri"/>
          <w:b/>
          <w:szCs w:val="24"/>
        </w:rPr>
        <w:t xml:space="preserve">Specialty: </w:t>
      </w:r>
      <w:r>
        <w:rPr>
          <w:rFonts w:ascii="Calibri" w:cs="Arial" w:hAnsi="Calibri"/>
          <w:b w:val="false"/>
          <w:bCs w:val="false"/>
          <w:szCs w:val="24"/>
        </w:rPr>
        <w:t>Computer Science and Networks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  <w:bCs/>
        </w:rPr>
        <w:t>D</w:t>
      </w:r>
      <w:r>
        <w:rPr>
          <w:rFonts w:ascii="Calibri" w:cs="Calibri" w:hAnsi="Calibri"/>
          <w:b/>
        </w:rPr>
        <w:t>octoral school :</w:t>
      </w:r>
      <w:r>
        <w:rPr>
          <w:rFonts w:ascii="Calibri" w:cs="Calibri" w:hAnsi="Calibri"/>
        </w:rPr>
        <w:t xml:space="preserve"> Ecole Doctorale Informatique, Télécommunications et Electronique de Paris</w:t>
      </w:r>
    </w:p>
    <w:p>
      <w:pPr>
        <w:pStyle w:val="style1"/>
        <w:numPr>
          <w:ilvl w:val="0"/>
          <w:numId w:val="2"/>
        </w:numPr>
      </w:pPr>
      <w:r>
        <w:rPr/>
      </w:r>
    </w:p>
    <w:p>
      <w:pPr>
        <w:pStyle w:val="style1"/>
        <w:numPr>
          <w:ilvl w:val="0"/>
          <w:numId w:val="2"/>
        </w:numPr>
      </w:pPr>
      <w:r>
        <w:rPr>
          <w:rFonts w:ascii="Calibri" w:cs="Arial" w:hAnsi="Calibri"/>
          <w:sz w:val="24"/>
          <w:szCs w:val="24"/>
        </w:rPr>
        <w:t>Presented by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alibri" w:cs="Lucida Sans Unicode" w:hAnsi="Calibri"/>
          <w:b/>
          <w:sz w:val="28"/>
          <w:szCs w:val="28"/>
        </w:rPr>
        <w:t>Andrei Vlad Sambra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Calibri" w:cs="Arial" w:hAnsi="Calibri"/>
          <w:b/>
          <w:szCs w:val="24"/>
        </w:rPr>
        <w:t>To obtain the diploma</w:t>
      </w:r>
    </w:p>
    <w:p>
      <w:pPr>
        <w:pStyle w:val="style0"/>
        <w:jc w:val="center"/>
      </w:pPr>
      <w:r>
        <w:rPr>
          <w:rFonts w:ascii="Calibri" w:cs="Arial" w:hAnsi="Calibri"/>
          <w:b/>
          <w:szCs w:val="24"/>
        </w:rPr>
        <w:t>DOCTEUR DE TELECOM SUDPARIS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jc w:val="center"/>
      </w:pPr>
      <w:r>
        <w:rPr/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jc w:val="center"/>
      </w:pPr>
      <w:r>
        <w:rPr>
          <w:rFonts w:ascii="Arial" w:cs="Arial" w:hAnsi="Arial"/>
          <w:b/>
          <w:sz w:val="36"/>
          <w:szCs w:val="36"/>
        </w:rPr>
        <w:t>Data Ownership and Interoperability for a Decentralized Social Semantic Web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cs="Arial" w:hAnsi="Calibri"/>
          <w:b/>
          <w:szCs w:val="24"/>
        </w:rPr>
        <w:t>Defended on : 19/11/2013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>
          <w:rFonts w:ascii="Calibri" w:cs="Arial" w:hAnsi="Calibri"/>
          <w:b/>
          <w:szCs w:val="24"/>
        </w:rPr>
        <w:t>before a jury composed of :</w:t>
      </w:r>
    </w:p>
    <w:tbl>
      <w:tblPr>
        <w:jc w:val="left"/>
        <w:tblInd w:type="dxa" w:w="45"/>
        <w:tblBorders/>
      </w:tblPr>
      <w:tblGrid>
        <w:gridCol w:w="3044"/>
        <w:gridCol w:w="4349"/>
        <w:gridCol w:w="3341"/>
      </w:tblGrid>
      <w:tr>
        <w:trPr>
          <w:trHeight w:hRule="atLeast" w:val="179"/>
          <w:cantSplit w:val="false"/>
        </w:trPr>
        <w:tc>
          <w:tcPr>
            <w:tcW w:type="dxa" w:w="3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>Josep Domingo Ferrer</w:t>
            </w:r>
          </w:p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ab/>
            </w:r>
          </w:p>
        </w:tc>
        <w:tc>
          <w:tcPr>
            <w:tcW w:type="dxa" w:w="43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Professor HDR</w:t>
            </w:r>
          </w:p>
        </w:tc>
        <w:tc>
          <w:tcPr>
            <w:tcW w:type="dxa" w:w="33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Rapporteur</w:t>
            </w:r>
          </w:p>
        </w:tc>
      </w:tr>
      <w:tr>
        <w:trPr>
          <w:cantSplit w:val="false"/>
        </w:trPr>
        <w:tc>
          <w:tcPr>
            <w:tcW w:type="dxa" w:w="3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  <w:lang w:val="de-DE"/>
              </w:rPr>
              <w:t>Fabien Gandon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CR HDR</w:t>
            </w:r>
          </w:p>
        </w:tc>
        <w:tc>
          <w:tcPr>
            <w:tcW w:type="dxa" w:w="33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Rapporteur</w:t>
            </w:r>
          </w:p>
        </w:tc>
      </w:tr>
      <w:tr>
        <w:trPr>
          <w:trHeight w:hRule="atLeast" w:val="289"/>
          <w:cantSplit w:val="false"/>
        </w:trPr>
        <w:tc>
          <w:tcPr>
            <w:tcW w:type="dxa" w:w="3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>Jean-Gabriel Ganascia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Professor HDR</w:t>
            </w:r>
          </w:p>
        </w:tc>
        <w:tc>
          <w:tcPr>
            <w:tcW w:type="dxa" w:w="33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Examiner</w:t>
            </w:r>
          </w:p>
        </w:tc>
      </w:tr>
      <w:tr>
        <w:trPr>
          <w:cantSplit w:val="false"/>
        </w:trPr>
        <w:tc>
          <w:tcPr>
            <w:tcW w:type="dxa" w:w="3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  <w:lang w:val="en-US"/>
              </w:rPr>
              <w:t>Olivier Berger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  <w:jc w:val="both"/>
            </w:pPr>
            <w:r>
              <w:rPr>
                <w:rFonts w:ascii="Calibri" w:cs="Arial" w:hAnsi="Calibri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type="dxa" w:w="33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Examiner</w:t>
            </w:r>
          </w:p>
        </w:tc>
      </w:tr>
      <w:tr>
        <w:trPr>
          <w:cantSplit w:val="false"/>
        </w:trPr>
        <w:tc>
          <w:tcPr>
            <w:tcW w:type="dxa" w:w="3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  <w:lang w:val="en-US"/>
              </w:rPr>
              <w:t>Yves Roudier</w:t>
            </w:r>
          </w:p>
          <w:p>
            <w:pPr>
              <w:pStyle w:val="style0"/>
              <w:ind w:hanging="0" w:left="-3" w:right="12"/>
              <w:jc w:val="left"/>
            </w:pPr>
            <w:r>
              <w:rPr/>
            </w:r>
          </w:p>
        </w:tc>
        <w:tc>
          <w:tcPr>
            <w:tcW w:type="dxa" w:w="43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  <w:jc w:val="both"/>
            </w:pPr>
            <w:r>
              <w:rPr>
                <w:rFonts w:ascii="Calibri" w:hAnsi="Calibri"/>
                <w:sz w:val="24"/>
                <w:szCs w:val="24"/>
              </w:rPr>
              <w:t>Assistant professor HDR</w:t>
            </w:r>
          </w:p>
        </w:tc>
        <w:tc>
          <w:tcPr>
            <w:tcW w:type="dxa" w:w="33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Examiner</w:t>
            </w:r>
          </w:p>
        </w:tc>
      </w:tr>
      <w:tr>
        <w:trPr>
          <w:cantSplit w:val="false"/>
        </w:trPr>
        <w:tc>
          <w:tcPr>
            <w:tcW w:type="dxa" w:w="304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-3" w:right="12"/>
              <w:jc w:val="left"/>
            </w:pPr>
            <w:r>
              <w:rPr>
                <w:rFonts w:ascii="Calibri" w:cs="Arial" w:hAnsi="Calibri"/>
                <w:sz w:val="24"/>
                <w:szCs w:val="24"/>
              </w:rPr>
              <w:t>Maryline Laurent</w:t>
            </w:r>
          </w:p>
        </w:tc>
        <w:tc>
          <w:tcPr>
            <w:tcW w:type="dxa" w:w="43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Professor HDR</w:t>
            </w:r>
          </w:p>
        </w:tc>
        <w:tc>
          <w:tcPr>
            <w:tcW w:type="dxa" w:w="334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firstLine="630" w:left="-3" w:right="12"/>
            </w:pPr>
            <w:r>
              <w:rPr>
                <w:rFonts w:ascii="Calibri" w:cs="Arial" w:hAnsi="Calibri"/>
                <w:sz w:val="24"/>
                <w:szCs w:val="24"/>
              </w:rPr>
              <w:t>Thesis director</w:t>
            </w:r>
          </w:p>
        </w:tc>
      </w:tr>
    </w:tbl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777" w:footer="720" w:gutter="0" w:header="720" w:left="567" w:right="474" w:top="77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firstLine="708" w:left="7080" w:right="0"/>
    </w:pPr>
    <w:r>
      <w:rPr/>
    </w:r>
  </w:p>
  <w:p>
    <w:pPr>
      <w:pStyle w:val="style0"/>
      <w:ind w:firstLine="708" w:left="7080" w:right="0"/>
    </w:pPr>
    <w:r>
      <w:rPr/>
    </w:r>
  </w:p>
  <w:p>
    <w:pPr>
      <w:pStyle w:val="style0"/>
      <w:ind w:firstLine="708" w:left="7080" w:right="0"/>
    </w:pPr>
    <w:r>
      <w:rPr>
        <w:rFonts w:ascii="Arial" w:cs="Arial" w:hAnsi="Arial"/>
        <w:b/>
        <w:szCs w:val="24"/>
      </w:rPr>
      <w:t>Thèse n° 2013TELE0027</w:t>
    </w:r>
  </w:p>
  <w:p>
    <w:pPr>
      <w:pStyle w:val="style0"/>
      <w:ind w:firstLine="708" w:left="7080" w:right="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4"/>
      <w:tabs>
        <w:tab w:leader="none" w:pos="11209" w:val="right"/>
        <w:tab w:leader="none" w:pos="11223" w:val="right"/>
      </w:tabs>
    </w:pPr>
    <w:r>
      <w:rPr>
        <w:rFonts w:ascii="Arial" w:cs="Arial" w:hAnsi="Arial"/>
        <w:sz w:val="16"/>
      </w:rPr>
      <w:drawing>
        <wp:inline distB="0" distL="0" distR="0" distT="0">
          <wp:extent cx="1085850" cy="108585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cs="Arial" w:hAnsi="Arial"/>
        <w:sz w:val="16"/>
      </w:rPr>
      <w:tab/>
    </w:r>
    <w:r>
      <w:rPr>
        <w:rFonts w:ascii="Arial" w:cs="Arial" w:hAnsi="Arial"/>
        <w:sz w:val="16"/>
      </w:rPr>
      <w:drawing>
        <wp:inline distB="0" distL="0" distR="0" distT="0">
          <wp:extent cx="1689100" cy="95250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952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cs="Arial" w:hAnsi="Arial"/>
        <w:sz w:val="16"/>
      </w:rPr>
      <w:t>s</w:t>
      <w:tab/>
    </w:r>
  </w:p>
  <w:p>
    <w:pPr>
      <w:pStyle w:val="style0"/>
      <w:jc w:val="center"/>
    </w:pPr>
    <w:r>
      <w:rPr/>
    </w:r>
  </w:p>
  <w:p>
    <w:pPr>
      <w:pStyle w:val="style0"/>
      <w:ind w:hanging="0" w:left="-142" w:right="0"/>
      <w:jc w:val="center"/>
    </w:pPr>
    <w:r>
      <w:rPr>
        <w:rFonts w:ascii="Calibri" w:cs="Arial" w:hAnsi="Calibri"/>
        <w:b/>
        <w:sz w:val="28"/>
        <w:szCs w:val="28"/>
      </w:rPr>
      <w:t>JOINT THESIS BETWEEN TELECOM SUDPARIS et L’UNIVERSITE PIERRE ET MARIE CURIE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" w:cs="Times New Roman" w:eastAsia="Times New Roman" w:hAnsi="Times"/>
      <w:color w:val="00000A"/>
      <w:sz w:val="24"/>
      <w:szCs w:val="20"/>
      <w:lang w:bidi="ar-SA" w:eastAsia="zh-CN" w:val="fr-FR"/>
    </w:rPr>
  </w:style>
  <w:style w:styleId="style1" w:type="paragraph">
    <w:name w:val="Heading 1"/>
    <w:basedOn w:val="style0"/>
    <w:next w:val="style30"/>
    <w:pPr>
      <w:keepNext/>
      <w:jc w:val="center"/>
    </w:pPr>
    <w:rPr>
      <w:rFonts w:ascii="Helvetica" w:cs="Helvetica" w:hAnsi="Helvetica"/>
      <w:b/>
      <w:sz w:val="20"/>
    </w:rPr>
  </w:style>
  <w:style w:styleId="style2" w:type="paragraph">
    <w:name w:val="Heading 2"/>
    <w:basedOn w:val="style0"/>
    <w:next w:val="style30"/>
    <w:pPr>
      <w:keepNext/>
      <w:numPr>
        <w:ilvl w:val="1"/>
        <w:numId w:val="1"/>
      </w:numPr>
      <w:jc w:val="center"/>
      <w:outlineLvl w:val="1"/>
    </w:pPr>
    <w:rPr>
      <w:rFonts w:ascii="Comic Sans MS" w:cs="Comic Sans MS" w:hAnsi="Comic Sans MS"/>
      <w:b/>
      <w:sz w:val="23"/>
    </w:rPr>
  </w:style>
  <w:style w:styleId="style4" w:type="paragraph">
    <w:name w:val="Heading 4"/>
    <w:basedOn w:val="style0"/>
    <w:next w:val="style30"/>
    <w:pPr>
      <w:keepNext/>
      <w:numPr>
        <w:ilvl w:val="3"/>
        <w:numId w:val="1"/>
      </w:numPr>
      <w:jc w:val="center"/>
      <w:outlineLvl w:val="3"/>
    </w:pPr>
    <w:rPr>
      <w:rFonts w:ascii="Comic Sans MS" w:cs="Comic Sans MS" w:hAnsi="Comic Sans MS"/>
      <w:b/>
      <w:color w:val="000000"/>
      <w:sz w:val="18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2z0"/>
    <w:next w:val="style16"/>
    <w:rPr>
      <w:rFonts w:ascii="Symbol" w:cs="Symbol" w:hAnsi="Symbol"/>
    </w:rPr>
  </w:style>
  <w:style w:styleId="style17" w:type="character">
    <w:name w:val="WW8Num3z0"/>
    <w:next w:val="style17"/>
    <w:rPr>
      <w:rFonts w:ascii="Symbol" w:cs="Symbol" w:hAnsi="Symbol"/>
    </w:rPr>
  </w:style>
  <w:style w:styleId="style18" w:type="character">
    <w:name w:val="WW8Num4z0"/>
    <w:next w:val="style18"/>
    <w:rPr>
      <w:rFonts w:ascii="Symbol" w:cs="Symbol" w:hAnsi="Symbol"/>
    </w:rPr>
  </w:style>
  <w:style w:styleId="style19" w:type="character">
    <w:name w:val="WW8Num5z0"/>
    <w:next w:val="style19"/>
    <w:rPr>
      <w:rFonts w:ascii="Symbol" w:cs="Symbol" w:hAnsi="Symbol"/>
    </w:rPr>
  </w:style>
  <w:style w:styleId="style20" w:type="character">
    <w:name w:val="WW8Num6z0"/>
    <w:next w:val="style20"/>
    <w:rPr>
      <w:rFonts w:ascii="Symbol" w:cs="Symbol" w:hAnsi="Symbol"/>
    </w:rPr>
  </w:style>
  <w:style w:styleId="style21" w:type="character">
    <w:name w:val="WW8Num7z0"/>
    <w:next w:val="style21"/>
    <w:rPr>
      <w:rFonts w:ascii="Symbol" w:cs="Symbol" w:hAnsi="Symbol"/>
    </w:rPr>
  </w:style>
  <w:style w:styleId="style22" w:type="character">
    <w:name w:val="WW8Num8z0"/>
    <w:next w:val="style22"/>
    <w:rPr>
      <w:rFonts w:ascii="Symbol" w:cs="Symbol" w:hAnsi="Symbol"/>
    </w:rPr>
  </w:style>
  <w:style w:styleId="style23" w:type="character">
    <w:name w:val="WW8Num9z0"/>
    <w:next w:val="style23"/>
    <w:rPr>
      <w:rFonts w:ascii="Symbol" w:cs="Symbol" w:hAnsi="Symbol"/>
    </w:rPr>
  </w:style>
  <w:style w:styleId="style24" w:type="character">
    <w:name w:val="WW8Num10z0"/>
    <w:next w:val="style24"/>
    <w:rPr>
      <w:rFonts w:ascii="Symbol" w:cs="Symbol" w:hAnsi="Symbol"/>
    </w:rPr>
  </w:style>
  <w:style w:styleId="style25" w:type="character">
    <w:name w:val="WW8Num11z0"/>
    <w:next w:val="style25"/>
    <w:rPr>
      <w:rFonts w:ascii="Symbol" w:cs="Symbol" w:hAnsi="Symbol"/>
    </w:rPr>
  </w:style>
  <w:style w:styleId="style26" w:type="character">
    <w:name w:val="WW8Num12z0"/>
    <w:next w:val="style26"/>
    <w:rPr>
      <w:rFonts w:ascii="Symbol" w:cs="Symbol" w:hAnsi="Symbol"/>
    </w:rPr>
  </w:style>
  <w:style w:styleId="style27" w:type="character">
    <w:name w:val="Police par défaut"/>
    <w:next w:val="style27"/>
    <w:rPr/>
  </w:style>
  <w:style w:styleId="style28" w:type="character">
    <w:name w:val="affiliation"/>
    <w:basedOn w:val="style27"/>
    <w:next w:val="style28"/>
    <w:rPr/>
  </w:style>
  <w:style w:styleId="style29" w:type="paragraph">
    <w:name w:val="Heading"/>
    <w:basedOn w:val="style0"/>
    <w:next w:val="style3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0" w:type="paragraph">
    <w:name w:val="Text body"/>
    <w:basedOn w:val="style0"/>
    <w:next w:val="style30"/>
    <w:pPr>
      <w:jc w:val="both"/>
    </w:pPr>
    <w:rPr>
      <w:rFonts w:ascii="Helvetica" w:cs="Helvetica" w:hAnsi="Helvetica"/>
      <w:sz w:val="20"/>
    </w:rPr>
  </w:style>
  <w:style w:styleId="style31" w:type="paragraph">
    <w:name w:val="List"/>
    <w:basedOn w:val="style30"/>
    <w:next w:val="style31"/>
    <w:pPr/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Index"/>
    <w:basedOn w:val="style0"/>
    <w:next w:val="style33"/>
    <w:pPr>
      <w:suppressLineNumbers/>
    </w:pPr>
    <w:rPr>
      <w:rFonts w:cs="Lohit Hindi"/>
    </w:rPr>
  </w:style>
  <w:style w:styleId="style34" w:type="paragraph">
    <w:name w:val="Header"/>
    <w:basedOn w:val="style0"/>
    <w:next w:val="style34"/>
    <w:pPr>
      <w:suppressLineNumbers/>
      <w:tabs>
        <w:tab w:leader="none" w:pos="4536" w:val="center"/>
        <w:tab w:leader="none" w:pos="9072" w:val="right"/>
      </w:tabs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536" w:val="center"/>
        <w:tab w:leader="none" w:pos="9072" w:val="right"/>
      </w:tabs>
    </w:pPr>
    <w:rPr/>
  </w:style>
  <w:style w:styleId="style36" w:type="paragraph">
    <w:name w:val="Corps de texte 2"/>
    <w:basedOn w:val="style0"/>
    <w:next w:val="style36"/>
    <w:pPr>
      <w:jc w:val="center"/>
    </w:pPr>
    <w:rPr>
      <w:rFonts w:ascii="Comic Sans MS" w:cs="Comic Sans MS" w:hAnsi="Comic Sans MS"/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2012-09-04T14:08:00.00Z</dcterms:created>
  <dc:creator>UTT</dc:creator>
  <cp:lastModifiedBy>Benoit Jean</cp:lastModifiedBy>
  <cp:lastPrinted>2008-04-24T10:17:00.00Z</cp:lastPrinted>
  <dcterms:modified xsi:type="dcterms:W3CDTF">2012-09-04T14:08:00.00Z</dcterms:modified>
  <cp:revision>2</cp:revision>
  <dc:title>DÉSIGNATION DE JURY</dc:title>
</cp:coreProperties>
</file>