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Calibri" w:cs="Arial" w:hAnsi="Calibri"/>
          <w:b/>
          <w:szCs w:val="24"/>
        </w:rPr>
        <w:t xml:space="preserve">Spécialité : </w:t>
      </w:r>
      <w:r>
        <w:rPr>
          <w:rFonts w:ascii="Calibri" w:cs="Arial" w:hAnsi="Calibri"/>
          <w:b w:val="false"/>
          <w:bCs w:val="false"/>
          <w:szCs w:val="24"/>
        </w:rPr>
        <w:t>Informatique et réseaux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hAnsi="Calibri"/>
          <w:b/>
        </w:rPr>
        <w:t>Ecole doctorale :</w:t>
      </w:r>
      <w:r>
        <w:rPr>
          <w:rFonts w:ascii="Calibri" w:cs="Calibri" w:hAnsi="Calibri"/>
        </w:rPr>
        <w:t xml:space="preserve"> Informatique, Télécommunications et Electronique de Paris</w:t>
      </w: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1"/>
        <w:numPr>
          <w:ilvl w:val="0"/>
          <w:numId w:val="2"/>
        </w:numPr>
      </w:pPr>
      <w:r>
        <w:rPr>
          <w:rFonts w:ascii="Calibri" w:cs="Arial" w:hAnsi="Calibri"/>
          <w:sz w:val="24"/>
          <w:szCs w:val="24"/>
        </w:rPr>
        <w:t>Présentée par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libri" w:cs="Lucida Sans Unicode" w:hAnsi="Calibri"/>
          <w:b/>
          <w:sz w:val="28"/>
          <w:szCs w:val="28"/>
        </w:rPr>
        <w:t>Andrei Vlad Sambra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Calibri" w:cs="Arial" w:hAnsi="Calibri"/>
          <w:b/>
          <w:szCs w:val="24"/>
        </w:rPr>
        <w:t>Pour obtenir le grade de</w:t>
      </w:r>
    </w:p>
    <w:p>
      <w:pPr>
        <w:pStyle w:val="style0"/>
        <w:jc w:val="center"/>
      </w:pPr>
      <w:r>
        <w:rPr>
          <w:rFonts w:ascii="Calibri" w:cs="Arial" w:hAnsi="Calibri"/>
          <w:b/>
          <w:szCs w:val="24"/>
        </w:rPr>
        <w:t>DOCTEUR DE TELECOM SUDPARIS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jc w:val="center"/>
      </w:pPr>
      <w:r>
        <w:rPr/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jc w:val="center"/>
      </w:pPr>
      <w:r>
        <w:rPr>
          <w:rFonts w:ascii="Arial" w:cs="Arial" w:hAnsi="Arial"/>
          <w:b/>
          <w:sz w:val="36"/>
          <w:szCs w:val="36"/>
        </w:rPr>
        <w:t xml:space="preserve">La propriété des données et l'interopérabilité pour un Web sémantique social </w:t>
      </w:r>
      <w:bookmarkStart w:id="0" w:name="__DdeLink__87_1663763452"/>
      <w:bookmarkEnd w:id="0"/>
      <w:r>
        <w:rPr>
          <w:rFonts w:ascii="Arial" w:cs="Arial" w:hAnsi="Arial"/>
          <w:b/>
          <w:sz w:val="36"/>
          <w:szCs w:val="36"/>
        </w:rPr>
        <w:t>décentralisé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cs="Arial" w:hAnsi="Calibri"/>
          <w:b/>
          <w:szCs w:val="24"/>
        </w:rPr>
        <w:t>Soutenue le : 19/11/2013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>
          <w:rFonts w:ascii="Calibri" w:cs="Arial" w:hAnsi="Calibri"/>
          <w:b/>
          <w:szCs w:val="24"/>
        </w:rPr>
        <w:t>devant le jury composé de :</w:t>
      </w:r>
    </w:p>
    <w:tbl>
      <w:tblPr>
        <w:jc w:val="left"/>
        <w:tblInd w:type="dxa" w:w="-63"/>
        <w:tblBorders/>
      </w:tblPr>
      <w:tblGrid>
        <w:gridCol w:w="3043"/>
        <w:gridCol w:w="4348"/>
        <w:gridCol w:w="3343"/>
      </w:tblGrid>
      <w:tr>
        <w:trPr>
          <w:trHeight w:hRule="atLeast" w:val="179"/>
          <w:cantSplit w:val="false"/>
        </w:trPr>
        <w:tc>
          <w:tcPr>
            <w:tcW w:type="dxa" w:w="30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</w:rPr>
              <w:t>Josep Domingo Ferrer</w:t>
            </w:r>
          </w:p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</w:rPr>
              <w:tab/>
            </w:r>
          </w:p>
        </w:tc>
        <w:tc>
          <w:tcPr>
            <w:tcW w:type="dxa" w:w="4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Professeur HDR</w:t>
            </w:r>
          </w:p>
        </w:tc>
        <w:tc>
          <w:tcPr>
            <w:tcW w:type="dxa" w:w="33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Rapporteur</w:t>
            </w:r>
          </w:p>
        </w:tc>
      </w:tr>
      <w:tr>
        <w:trPr>
          <w:cantSplit w:val="false"/>
        </w:trPr>
        <w:tc>
          <w:tcPr>
            <w:tcW w:type="dxa" w:w="30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  <w:lang w:val="de-DE"/>
              </w:rPr>
              <w:t>Fabien Gandon</w:t>
            </w:r>
          </w:p>
          <w:p>
            <w:pPr>
              <w:pStyle w:val="style0"/>
              <w:ind w:hanging="0" w:left="-3" w:right="12"/>
              <w:jc w:val="left"/>
            </w:pPr>
            <w:r>
              <w:rPr/>
            </w:r>
          </w:p>
        </w:tc>
        <w:tc>
          <w:tcPr>
            <w:tcW w:type="dxa" w:w="4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CR HDR</w:t>
            </w:r>
          </w:p>
        </w:tc>
        <w:tc>
          <w:tcPr>
            <w:tcW w:type="dxa" w:w="33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Rapporteur</w:t>
            </w:r>
          </w:p>
        </w:tc>
      </w:tr>
      <w:tr>
        <w:trPr>
          <w:trHeight w:hRule="atLeast" w:val="289"/>
          <w:cantSplit w:val="false"/>
        </w:trPr>
        <w:tc>
          <w:tcPr>
            <w:tcW w:type="dxa" w:w="30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</w:rPr>
              <w:t>Jean-Gabriel Ganascia</w:t>
            </w:r>
          </w:p>
          <w:p>
            <w:pPr>
              <w:pStyle w:val="style0"/>
              <w:ind w:hanging="0" w:left="-3" w:right="12"/>
              <w:jc w:val="left"/>
            </w:pPr>
            <w:r>
              <w:rPr/>
            </w:r>
          </w:p>
        </w:tc>
        <w:tc>
          <w:tcPr>
            <w:tcW w:type="dxa" w:w="4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Professeur HDR</w:t>
            </w:r>
          </w:p>
        </w:tc>
        <w:tc>
          <w:tcPr>
            <w:tcW w:type="dxa" w:w="33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Examinateur</w:t>
            </w:r>
          </w:p>
        </w:tc>
      </w:tr>
      <w:tr>
        <w:trPr>
          <w:cantSplit w:val="false"/>
        </w:trPr>
        <w:tc>
          <w:tcPr>
            <w:tcW w:type="dxa" w:w="30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  <w:lang w:val="en-US"/>
              </w:rPr>
              <w:t>Olivier Berger</w:t>
            </w:r>
          </w:p>
          <w:p>
            <w:pPr>
              <w:pStyle w:val="style0"/>
              <w:ind w:hanging="0" w:left="-3" w:right="12"/>
              <w:jc w:val="left"/>
            </w:pPr>
            <w:r>
              <w:rPr/>
            </w:r>
          </w:p>
        </w:tc>
        <w:tc>
          <w:tcPr>
            <w:tcW w:type="dxa" w:w="4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  <w:jc w:val="both"/>
            </w:pPr>
            <w:r>
              <w:rPr>
                <w:rFonts w:ascii="Calibri" w:cs="Arial" w:hAnsi="Calibri"/>
                <w:sz w:val="24"/>
                <w:szCs w:val="24"/>
                <w:lang w:val="en-US"/>
              </w:rPr>
              <w:t>Ingénieur</w:t>
            </w:r>
          </w:p>
        </w:tc>
        <w:tc>
          <w:tcPr>
            <w:tcW w:type="dxa" w:w="33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Examinateur</w:t>
            </w:r>
          </w:p>
        </w:tc>
      </w:tr>
      <w:tr>
        <w:trPr>
          <w:cantSplit w:val="false"/>
        </w:trPr>
        <w:tc>
          <w:tcPr>
            <w:tcW w:type="dxa" w:w="30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  <w:lang w:val="en-US"/>
              </w:rPr>
              <w:t>Yves Roudier</w:t>
            </w:r>
          </w:p>
          <w:p>
            <w:pPr>
              <w:pStyle w:val="style0"/>
              <w:ind w:hanging="0" w:left="-3" w:right="12"/>
              <w:jc w:val="left"/>
            </w:pPr>
            <w:r>
              <w:rPr/>
            </w:r>
          </w:p>
        </w:tc>
        <w:tc>
          <w:tcPr>
            <w:tcW w:type="dxa" w:w="4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  <w:jc w:val="both"/>
            </w:pPr>
            <w:r>
              <w:rPr>
                <w:rFonts w:ascii="Calibri" w:hAnsi="Calibri"/>
                <w:sz w:val="24"/>
                <w:szCs w:val="24"/>
              </w:rPr>
              <w:t>Maitre de conférences HDR,</w:t>
            </w:r>
          </w:p>
        </w:tc>
        <w:tc>
          <w:tcPr>
            <w:tcW w:type="dxa" w:w="33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Examinateur</w:t>
            </w:r>
          </w:p>
        </w:tc>
      </w:tr>
      <w:tr>
        <w:trPr>
          <w:cantSplit w:val="false"/>
        </w:trPr>
        <w:tc>
          <w:tcPr>
            <w:tcW w:type="dxa" w:w="30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</w:rPr>
              <w:t>Maryline Laurent</w:t>
            </w:r>
          </w:p>
        </w:tc>
        <w:tc>
          <w:tcPr>
            <w:tcW w:type="dxa" w:w="43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Professeur HDR</w:t>
            </w:r>
          </w:p>
        </w:tc>
        <w:tc>
          <w:tcPr>
            <w:tcW w:type="dxa" w:w="33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Directrice de thèse</w:t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777" w:footer="720" w:gutter="0" w:header="720" w:left="567" w:right="474" w:top="77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firstLine="708" w:left="7080" w:right="0"/>
    </w:pPr>
    <w:r>
      <w:rPr/>
    </w:r>
  </w:p>
  <w:p>
    <w:pPr>
      <w:pStyle w:val="style0"/>
      <w:ind w:firstLine="708" w:left="7080" w:right="0"/>
    </w:pPr>
    <w:r>
      <w:rPr/>
    </w:r>
  </w:p>
  <w:p>
    <w:pPr>
      <w:pStyle w:val="style0"/>
      <w:ind w:firstLine="708" w:left="7080" w:right="0"/>
    </w:pPr>
    <w:r>
      <w:rPr>
        <w:rFonts w:ascii="Arial" w:cs="Arial" w:hAnsi="Arial"/>
        <w:b/>
        <w:szCs w:val="24"/>
      </w:rPr>
      <w:t>Thèse n° 2013TELE0027</w:t>
    </w:r>
  </w:p>
  <w:p>
    <w:pPr>
      <w:pStyle w:val="style0"/>
      <w:ind w:firstLine="708" w:left="7080" w:right="0"/>
    </w:pPr>
    <w:r>
      <w:rPr/>
    </w:r>
  </w:p>
  <w:p>
    <w:pPr>
      <w:pStyle w:val="style35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4"/>
      <w:tabs>
        <w:tab w:leader="none" w:pos="4536" w:val="center"/>
        <w:tab w:leader="none" w:pos="11209" w:val="right"/>
      </w:tabs>
    </w:pPr>
    <w:r>
      <w:rPr/>
      <w:drawing>
        <wp:inline distB="0" distL="0" distR="0" distT="0">
          <wp:extent cx="1085850" cy="108585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cs="Arial" w:hAnsi="Arial"/>
        <w:sz w:val="16"/>
      </w:rPr>
      <w:tab/>
      <w:tab/>
    </w:r>
    <w:r>
      <w:rPr/>
      <w:drawing>
        <wp:inline distB="0" distL="0" distR="0" distT="0">
          <wp:extent cx="1885950" cy="95250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0"/>
      <w:jc w:val="center"/>
    </w:pPr>
    <w:r>
      <w:rPr/>
    </w:r>
  </w:p>
  <w:p>
    <w:pPr>
      <w:pStyle w:val="style0"/>
      <w:ind w:hanging="0" w:left="-142" w:right="0"/>
      <w:jc w:val="center"/>
    </w:pPr>
    <w:r>
      <w:rPr>
        <w:rFonts w:ascii="Calibri" w:cs="Arial" w:hAnsi="Calibri"/>
        <w:b/>
        <w:sz w:val="28"/>
        <w:szCs w:val="28"/>
      </w:rPr>
      <w:t>THESE DE DOCTORAT CONJOINT TELECOM SUDPARIS et L’UNIVERSITE PIERRE ET MARIE CURIE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" w:cs="Times New Roman" w:eastAsia="Times New Roman" w:hAnsi="Times"/>
      <w:color w:val="00000A"/>
      <w:sz w:val="24"/>
      <w:szCs w:val="20"/>
      <w:lang w:bidi="ar-SA" w:eastAsia="zh-CN" w:val="fr-FR"/>
    </w:rPr>
  </w:style>
  <w:style w:styleId="style1" w:type="paragraph">
    <w:name w:val="Heading 1"/>
    <w:basedOn w:val="style0"/>
    <w:next w:val="style30"/>
    <w:pPr>
      <w:keepNext/>
      <w:numPr>
        <w:ilvl w:val="0"/>
        <w:numId w:val="1"/>
      </w:numPr>
      <w:jc w:val="center"/>
      <w:outlineLvl w:val="0"/>
    </w:pPr>
    <w:rPr>
      <w:rFonts w:ascii="Helvetica" w:cs="Helvetica" w:hAnsi="Helvetica"/>
      <w:b/>
      <w:sz w:val="20"/>
    </w:rPr>
  </w:style>
  <w:style w:styleId="style2" w:type="paragraph">
    <w:name w:val="Heading 2"/>
    <w:basedOn w:val="style0"/>
    <w:next w:val="style30"/>
    <w:pPr>
      <w:keepNext/>
      <w:numPr>
        <w:ilvl w:val="1"/>
        <w:numId w:val="1"/>
      </w:numPr>
      <w:jc w:val="center"/>
      <w:outlineLvl w:val="1"/>
    </w:pPr>
    <w:rPr>
      <w:rFonts w:ascii="Comic Sans MS" w:cs="Comic Sans MS" w:hAnsi="Comic Sans MS"/>
      <w:b/>
      <w:sz w:val="23"/>
    </w:rPr>
  </w:style>
  <w:style w:styleId="style4" w:type="paragraph">
    <w:name w:val="Heading 4"/>
    <w:basedOn w:val="style0"/>
    <w:next w:val="style30"/>
    <w:pPr>
      <w:keepNext/>
      <w:numPr>
        <w:ilvl w:val="3"/>
        <w:numId w:val="1"/>
      </w:numPr>
      <w:jc w:val="center"/>
      <w:outlineLvl w:val="3"/>
    </w:pPr>
    <w:rPr>
      <w:rFonts w:ascii="Comic Sans MS" w:cs="Comic Sans MS" w:hAnsi="Comic Sans MS"/>
      <w:b/>
      <w:color w:val="000000"/>
      <w:sz w:val="18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2z0"/>
    <w:next w:val="style16"/>
    <w:rPr>
      <w:rFonts w:ascii="Symbol" w:cs="Symbol" w:hAnsi="Symbol"/>
    </w:rPr>
  </w:style>
  <w:style w:styleId="style17" w:type="character">
    <w:name w:val="WW8Num3z0"/>
    <w:next w:val="style17"/>
    <w:rPr>
      <w:rFonts w:ascii="Symbol" w:cs="Symbol" w:hAnsi="Symbol"/>
    </w:rPr>
  </w:style>
  <w:style w:styleId="style18" w:type="character">
    <w:name w:val="WW8Num4z0"/>
    <w:next w:val="style18"/>
    <w:rPr>
      <w:rFonts w:ascii="Symbol" w:cs="Symbol" w:hAnsi="Symbol"/>
    </w:rPr>
  </w:style>
  <w:style w:styleId="style19" w:type="character">
    <w:name w:val="WW8Num5z0"/>
    <w:next w:val="style19"/>
    <w:rPr>
      <w:rFonts w:ascii="Symbol" w:cs="Symbol" w:hAnsi="Symbol"/>
    </w:rPr>
  </w:style>
  <w:style w:styleId="style20" w:type="character">
    <w:name w:val="WW8Num6z0"/>
    <w:next w:val="style20"/>
    <w:rPr>
      <w:rFonts w:ascii="Symbol" w:cs="Symbol" w:hAnsi="Symbol"/>
    </w:rPr>
  </w:style>
  <w:style w:styleId="style21" w:type="character">
    <w:name w:val="WW8Num7z0"/>
    <w:next w:val="style21"/>
    <w:rPr>
      <w:rFonts w:ascii="Symbol" w:cs="Symbol" w:hAnsi="Symbol"/>
    </w:rPr>
  </w:style>
  <w:style w:styleId="style22" w:type="character">
    <w:name w:val="WW8Num8z0"/>
    <w:next w:val="style22"/>
    <w:rPr>
      <w:rFonts w:ascii="Symbol" w:cs="Symbol" w:hAnsi="Symbol"/>
    </w:rPr>
  </w:style>
  <w:style w:styleId="style23" w:type="character">
    <w:name w:val="WW8Num9z0"/>
    <w:next w:val="style23"/>
    <w:rPr>
      <w:rFonts w:ascii="Symbol" w:cs="Symbol" w:hAnsi="Symbol"/>
    </w:rPr>
  </w:style>
  <w:style w:styleId="style24" w:type="character">
    <w:name w:val="WW8Num10z0"/>
    <w:next w:val="style24"/>
    <w:rPr>
      <w:rFonts w:ascii="Symbol" w:cs="Symbol" w:hAnsi="Symbol"/>
    </w:rPr>
  </w:style>
  <w:style w:styleId="style25" w:type="character">
    <w:name w:val="WW8Num11z0"/>
    <w:next w:val="style25"/>
    <w:rPr>
      <w:rFonts w:ascii="Symbol" w:cs="Symbol" w:hAnsi="Symbol"/>
    </w:rPr>
  </w:style>
  <w:style w:styleId="style26" w:type="character">
    <w:name w:val="WW8Num12z0"/>
    <w:next w:val="style26"/>
    <w:rPr>
      <w:rFonts w:ascii="Symbol" w:cs="Symbol" w:hAnsi="Symbol"/>
    </w:rPr>
  </w:style>
  <w:style w:styleId="style27" w:type="character">
    <w:name w:val="Police par défaut"/>
    <w:next w:val="style27"/>
    <w:rPr/>
  </w:style>
  <w:style w:styleId="style28" w:type="character">
    <w:name w:val="affiliation"/>
    <w:basedOn w:val="style27"/>
    <w:next w:val="style28"/>
    <w:rPr/>
  </w:style>
  <w:style w:styleId="style29" w:type="paragraph">
    <w:name w:val="Heading"/>
    <w:basedOn w:val="style0"/>
    <w:next w:val="style3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0" w:type="paragraph">
    <w:name w:val="Text body"/>
    <w:basedOn w:val="style0"/>
    <w:next w:val="style30"/>
    <w:pPr>
      <w:jc w:val="both"/>
    </w:pPr>
    <w:rPr>
      <w:rFonts w:ascii="Helvetica" w:cs="Helvetica" w:hAnsi="Helvetica"/>
      <w:sz w:val="20"/>
    </w:rPr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Header"/>
    <w:basedOn w:val="style0"/>
    <w:next w:val="style34"/>
    <w:pPr>
      <w:suppressLineNumbers/>
      <w:tabs>
        <w:tab w:leader="none" w:pos="4536" w:val="center"/>
        <w:tab w:leader="none" w:pos="9072" w:val="right"/>
      </w:tabs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536" w:val="center"/>
        <w:tab w:leader="none" w:pos="9072" w:val="right"/>
      </w:tabs>
    </w:pPr>
    <w:rPr/>
  </w:style>
  <w:style w:styleId="style36" w:type="paragraph">
    <w:name w:val="Corps de texte 2"/>
    <w:basedOn w:val="style0"/>
    <w:next w:val="style36"/>
    <w:pPr>
      <w:jc w:val="center"/>
    </w:pPr>
    <w:rPr>
      <w:rFonts w:ascii="Comic Sans MS" w:cs="Comic Sans MS" w:hAnsi="Comic Sans MS"/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2012-09-04T14:08:00.00Z</dcterms:created>
  <dc:creator>UTT</dc:creator>
  <cp:lastModifiedBy>Benoit Jean</cp:lastModifiedBy>
  <cp:lastPrinted>2008-04-24T10:17:00.00Z</cp:lastPrinted>
  <dcterms:modified xsi:type="dcterms:W3CDTF">2012-09-04T14:08:00.00Z</dcterms:modified>
  <cp:revision>2</cp:revision>
  <dc:title>DÉSIGNATION DE JURY</dc:title>
</cp:coreProperties>
</file>