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 del documento</w:t>
      </w:r>
    </w:p>
    <w:p>
      <w:pPr>
        <w:pStyle w:val="Heading1"/>
      </w:pPr>
      <w:r>
        <w:t>Sección primera</w:t>
      </w:r>
    </w:p>
    <w:p>
      <w:r>
        <w:t xml:space="preserve">Texto normal con </w:t>
      </w:r>
      <w:r>
        <w:rPr>
          <w:b/>
        </w:rPr>
        <w:t>negritas</w:t>
      </w:r>
      <w:r>
        <w:t xml:space="preserve">, </w:t>
      </w:r>
      <w:r>
        <w:rPr>
          <w:i/>
        </w:rPr>
        <w:t>cursivas</w:t>
      </w:r>
      <w:r>
        <w:t xml:space="preserve">, </w:t>
      </w:r>
      <w:r>
        <w:rPr>
          <w:u w:val="single"/>
        </w:rPr>
        <w:t>subrayado</w:t>
      </w:r>
      <w:r>
        <w:t xml:space="preserve"> y </w:t>
      </w:r>
      <w:r>
        <w:rPr>
          <w:strike/>
        </w:rPr>
        <w:t>tachado</w:t>
      </w:r>
      <w:r>
        <w:t>. Acentos: café ☕ &amp; &lt;tag&gt; "comillas".</w:t>
      </w:r>
    </w:p>
    <w:p>
      <w:r>
        <w:rPr>
          <w:color w:val="C00000"/>
        </w:rPr>
        <w:t>rojo</w:t>
      </w:r>
      <w:r>
        <w:t xml:space="preserve"> · </w:t>
      </w:r>
      <w:r>
        <w:rPr>
          <w:rFonts w:ascii="Consolas" w:hAnsi="Consolas"/>
        </w:rPr>
        <w:t>código</w:t>
      </w:r>
      <w:r>
        <w:t xml:space="preserve"> · </w:t>
      </w:r>
      <w:r>
        <w:rPr>
          <w:vertAlign w:val="superscript"/>
        </w:rPr>
        <w:t>super</w:t>
      </w:r>
      <w:r>
        <w:t xml:space="preserve"> · </w:t>
      </w:r>
      <w:r>
        <w:rPr>
          <w:vertAlign w:val="subscript"/>
        </w:rPr>
        <w:t>sub</w:t>
      </w:r>
    </w:p>
    <w:p>
      <w:pPr>
        <w:jc w:val="center"/>
      </w:pPr>
      <w:r>
        <w:t>Centrado</w:t>
      </w:r>
    </w:p>
    <w:p>
      <w:pPr>
        <w:jc w:val="both"/>
      </w:pPr>
      <w:r>
        <w:t xml:space="preserve">Justificado Justificado Justificado Justificado Justificado Justificado </w:t>
      </w:r>
    </w:p>
    <w:p>
      <w:pPr>
        <w:pStyle w:val="Heading2"/>
      </w:pPr>
      <w:r>
        <w:t>Listas</w:t>
      </w:r>
    </w:p>
    <w:p>
      <w:pPr>
        <w:pStyle w:val="ListBullet"/>
      </w:pPr>
      <w:r>
        <w:t>Viñeta uno</w:t>
      </w:r>
    </w:p>
    <w:p>
      <w:pPr>
        <w:pStyle w:val="ListBullet"/>
      </w:pPr>
      <w:r>
        <w:t>Viñeta dos</w:t>
      </w:r>
    </w:p>
    <w:p>
      <w:pPr>
        <w:pStyle w:val="ListNumber"/>
      </w:pPr>
      <w:r>
        <w:t>Numerada uno</w:t>
      </w:r>
    </w:p>
    <w:p>
      <w:pPr>
        <w:pStyle w:val="ListNumber"/>
      </w:pPr>
      <w:r>
        <w:t>Numerada dos</w:t>
      </w:r>
    </w:p>
    <w:p>
      <w:pPr>
        <w:pStyle w:val="Heading2"/>
      </w:pPr>
      <w:r>
        <w:t>Tabla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Transferencia SPEI</w:t>
            </w:r>
          </w:p>
        </w:tc>
        <w:tc>
          <w:tcPr>
            <w:tcW w:type="dxa" w:w="2880"/>
          </w:tcPr>
          <w:p>
            <w:r>
              <w:t>1,234.56</w:t>
            </w:r>
          </w:p>
        </w:tc>
        <w:tc>
          <w:tcPr>
            <w:tcW w:type="dxa" w:w="2880"/>
          </w:tcPr>
          <w:p>
            <w:r>
              <w:t>Liquidada</w:t>
            </w:r>
          </w:p>
        </w:tc>
      </w:tr>
      <w:tr>
        <w:tc>
          <w:tcPr>
            <w:tcW w:type="dxa" w:w="2880"/>
          </w:tcPr>
          <w:p>
            <w:r>
              <w:t>Devolución</w:t>
            </w:r>
          </w:p>
        </w:tc>
        <w:tc>
          <w:tcPr>
            <w:tcW w:type="dxa" w:w="2880"/>
          </w:tcPr>
          <w:p>
            <w:r>
              <w:t>-500.00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</w:tbl>
    <w:p>
      <w:pPr>
        <w:pStyle w:val="Heading2"/>
      </w:pPr>
      <w:r>
        <w:t>Enlaces e imagen</w:t>
      </w:r>
    </w:p>
    <w:p>
      <w:r>
        <w:t xml:space="preserve">Ver </w:t>
      </w:r>
      <w:hyperlink r:id="rId9">
        <w:r>
          <w:rPr>
            <w:u w:val="single"/>
          </w:rPr>
          <w:t>la documentación</w:t>
        </w:r>
      </w:hyperlink>
      <w:r>
        <w:t xml:space="preserve"> para más detalles.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oc-fix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Después del salto</w:t>
      </w:r>
    </w:p>
    <w:p>
      <w:r>
        <w:t>Última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ide.mx/doc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</dc:title>
  <dc:subject/>
  <dc:creator>Tide Commander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