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7F7F7F"/>
          <w:sz w:val="20"/>
          <w:szCs w:val="20"/>
        </w:rPr>
        <w:t xml:space="preserve">INFORME TÉCNICO FINAL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Banco Andino Colombia: base de datos OLTP verificada por quality gates</w:t>
      </w:r>
    </w:p>
    <w:p>
      <w:p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Laboratorio de Ingeniería de Bases de Datos Relacionales Aumentada con IA · Bases de Datos II · Ingeniería de Sistemas y Telecomunicaciones · Universidad de Manizales</w:t>
      </w:r>
    </w:p>
    <w:p>
      <w:p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Integrantes:</w:t>
      </w:r>
      <w:r>
        <w:rPr>
          <w:rFonts w:ascii="Calibri" w:cs="Calibri" w:eastAsia="Calibri" w:hAnsi="Calibri"/>
          <w:sz w:val="20"/>
          <w:szCs w:val="20"/>
        </w:rPr>
        <w:t xml:space="preserve"> Juan Diego Ortiz · Adrian Daniel Argotte · Miguel Andrés Pava · Jerónimo Soto · David Gonzáles</w:t>
      </w:r>
    </w:p>
    <w:p>
      <w:p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Fecha:</w:t>
      </w:r>
      <w:r>
        <w:rPr>
          <w:rFonts w:ascii="Calibri" w:cs="Calibri" w:eastAsia="Calibri" w:hAnsi="Calibri"/>
          <w:sz w:val="20"/>
          <w:szCs w:val="20"/>
        </w:rPr>
        <w:t xml:space="preserve"> 1 de octubre de 2026</w:t>
      </w:r>
    </w:p>
    <w:p>
      <w:pPr>
        <w:spacing w:after="12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Repositorio: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lab-postgresql-banco-ia</w:t>
      </w:r>
      <w:r>
        <w:rPr>
          <w:rFonts w:ascii="Calibri" w:cs="Calibri" w:eastAsia="Calibri" w:hAnsi="Calibri"/>
          <w:sz w:val="20"/>
          <w:szCs w:val="20"/>
        </w:rPr>
        <w:t xml:space="preserve"> · PostgreSQL 16 y 18.6 · Python 3.13 · todos los datos son 100 % sintéticos</w:t>
      </w:r>
    </w:p>
    <w:p>
      <w:pPr>
        <w:pStyle w:val="Heading1"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Resumen</w:t>
      </w:r>
    </w:p>
    <w:p>
      <w:pPr>
        <w:spacing w:after="80" w:line="252"/>
      </w:pPr>
      <w:r>
        <w:rPr>
          <w:rFonts w:ascii="Calibri" w:cs="Calibri" w:eastAsia="Calibri" w:hAnsi="Calibri"/>
          <w:sz w:val="20"/>
          <w:szCs w:val="20"/>
        </w:rPr>
        <w:t xml:space="preserve">Se diseñó, construyó y verificó la base de datos transaccional de un banco ficticio colombiano: clientes naturales y jurídicos, cuentas con varios titulares y ciclo de vida por eventos, transacciones con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ledger de doble partida</w:t>
      </w:r>
      <w:r>
        <w:rPr>
          <w:rFonts w:ascii="Calibri" w:cs="Calibri" w:eastAsia="Calibri" w:hAnsi="Calibri"/>
          <w:sz w:val="20"/>
          <w:szCs w:val="20"/>
        </w:rPr>
        <w:t xml:space="preserve">, usuarios internos con roles y auditoría. El trabajo siguió el modelo del laboratorio: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la IA propone, el equipo revisa, PostgreSQL ejecuta, las pruebas miden y el quality gate decide</w:t>
      </w:r>
      <w:r>
        <w:rPr>
          <w:rFonts w:ascii="Calibri" w:cs="Calibri" w:eastAsia="Calibri" w:hAnsi="Calibri"/>
          <w:sz w:val="20"/>
          <w:szCs w:val="20"/>
        </w:rPr>
        <w:t xml:space="preserve">. Cada gate se cerró solo con evidencia ejecutable.</w:t>
      </w:r>
    </w:p>
    <w:p>
      <w:pPr>
        <w:spacing w:after="100" w:line="252"/>
      </w:pPr>
      <w:r>
        <w:rPr>
          <w:rFonts w:ascii="Calibri" w:cs="Calibri" w:eastAsia="Calibri" w:hAnsi="Calibri"/>
          <w:sz w:val="20"/>
          <w:szCs w:val="20"/>
        </w:rPr>
        <w:t xml:space="preserve">Resultado: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los 9 gates (G0–G8) en PASS</w:t>
      </w:r>
      <w:r>
        <w:rPr>
          <w:rFonts w:ascii="Calibri" w:cs="Calibri" w:eastAsia="Calibri" w:hAnsi="Calibri"/>
          <w:sz w:val="20"/>
          <w:szCs w:val="20"/>
        </w:rPr>
        <w:t xml:space="preserve">. La base se reconstruye desde cero con un solo script (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sql/g8_reconstruir_todo.sql</w:t>
      </w:r>
      <w:r>
        <w:rPr>
          <w:rFonts w:ascii="Calibri" w:cs="Calibri" w:eastAsia="Calibri" w:hAnsi="Calibri"/>
          <w:sz w:val="20"/>
          <w:szCs w:val="20"/>
        </w:rPr>
        <w:t xml:space="preserve">, 3 a 10 minutos): 28 tablas, 10.000 clientes, 50.000 cuentas, 1.000.000 de transacciones POSTED y 2.000.000 de asientos. Termina en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G8 RECONSTRUCCIÓN = PASS</w:t>
      </w:r>
      <w:r>
        <w:rPr>
          <w:rFonts w:ascii="Calibri" w:cs="Calibri" w:eastAsia="Calibri" w:hAnsi="Calibri"/>
          <w:sz w:val="20"/>
          <w:szCs w:val="20"/>
        </w:rPr>
        <w:t xml:space="preserve">, con 0 fallas críticas.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6"/>
        <w:gridCol w:w="3072"/>
        <w:gridCol w:w="3277"/>
        <w:gridCol w:w="2355"/>
      </w:tblGrid>
      <w:tr>
        <w:trPr>
          <w:tblHeader/>
        </w:trPr>
        <w:tc>
          <w:tcPr>
            <w:tcW w:type="dxa" w:w="153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Gate</w:t>
            </w:r>
          </w:p>
        </w:tc>
        <w:tc>
          <w:tcPr>
            <w:tcW w:type="dxa" w:w="307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Qué se exigía</w:t>
            </w:r>
          </w:p>
        </w:tc>
        <w:tc>
          <w:tcPr>
            <w:tcW w:type="dxa" w:w="3277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  <w:tc>
          <w:tcPr>
            <w:tcW w:type="dxa" w:w="2355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Evidencia</w:t>
            </w:r>
          </w:p>
        </w:tc>
      </w:tr>
      <w:tr>
        <w:tc>
          <w:tcPr>
            <w:tcW w:type="dxa" w:w="153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G0 Entorno</w:t>
            </w:r>
          </w:p>
        </w:tc>
        <w:tc>
          <w:tcPr>
            <w:tcW w:type="dxa" w:w="307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PostgreSQL, Python y repositorio listos</w:t>
            </w:r>
          </w:p>
        </w:tc>
        <w:tc>
          <w:tcPr>
            <w:tcW w:type="dxa" w:w="3277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 · PostgreSQL 18.6 + Python 3.13</w:t>
            </w:r>
          </w:p>
        </w:tc>
        <w:tc>
          <w:tcPr>
            <w:tcW w:type="dxa" w:w="2355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g0_environment.txt</w:t>
            </w:r>
          </w:p>
        </w:tc>
      </w:tr>
      <w:tr>
        <w:tc>
          <w:tcPr>
            <w:tcW w:type="dxa" w:w="153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G1 Negocio</w:t>
            </w:r>
          </w:p>
        </w:tc>
        <w:tc>
          <w:tcPr>
            <w:tcW w:type="dxa" w:w="307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≥ 30 reglas verificables, supuestos, riesgos</w:t>
            </w:r>
          </w:p>
        </w:tc>
        <w:tc>
          <w:tcPr>
            <w:tcW w:type="dxa" w:w="3277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 · 54 reglas, 5 supuestos, 9 riesgos</w:t>
            </w:r>
          </w:p>
        </w:tc>
        <w:tc>
          <w:tcPr>
            <w:tcW w:type="dxa" w:w="2355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01_especificacion.md</w:t>
            </w:r>
          </w:p>
        </w:tc>
      </w:tr>
      <w:tr>
        <w:tc>
          <w:tcPr>
            <w:tcW w:type="dxa" w:w="153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G2 Modelo</w:t>
            </w:r>
          </w:p>
        </w:tc>
        <w:tc>
          <w:tcPr>
            <w:tcW w:type="dxa" w:w="307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3FN, claves, cardinalidades, ERD</w:t>
            </w:r>
          </w:p>
        </w:tc>
        <w:tc>
          <w:tcPr>
            <w:tcW w:type="dxa" w:w="3277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 · 28 tablas, 42 FK, 8 desnormalizaciones justificadas</w:t>
            </w:r>
          </w:p>
        </w:tc>
        <w:tc>
          <w:tcPr>
            <w:tcW w:type="dxa" w:w="2355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02_modelo_logico.md</w:t>
            </w:r>
          </w:p>
        </w:tc>
      </w:tr>
      <w:tr>
        <w:tc>
          <w:tcPr>
            <w:tcW w:type="dxa" w:w="153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G3 Construcción</w:t>
            </w:r>
          </w:p>
        </w:tc>
        <w:tc>
          <w:tcPr>
            <w:tcW w:type="dxa" w:w="307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DDL, operaciones seguras, pruebas, concurrencia</w:t>
            </w:r>
          </w:p>
        </w:tc>
        <w:tc>
          <w:tcPr>
            <w:tcW w:type="dxa" w:w="3277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 · 17 operaciones, 32 triggers, 5 roles; 49/49 pruebas + 4 de concurrencia</w:t>
            </w:r>
          </w:p>
        </w:tc>
        <w:tc>
          <w:tcPr>
            <w:tcW w:type="dxa" w:w="2355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03_construccion.md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g3_tests.txt</w:t>
            </w:r>
          </w:p>
        </w:tc>
      </w:tr>
      <w:tr>
        <w:tc>
          <w:tcPr>
            <w:tcW w:type="dxa" w:w="153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G4 Datos</w:t>
            </w:r>
          </w:p>
        </w:tc>
        <w:tc>
          <w:tcPr>
            <w:tcW w:type="dxa" w:w="307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10K / 50K / 1M reproducibles y realistas</w:t>
            </w:r>
          </w:p>
        </w:tc>
        <w:tc>
          <w:tcPr>
            <w:tcW w:type="dxa" w:w="3277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 · 48/48 métricas; mismos SHA-256 en 2 ejecuciones</w:t>
            </w:r>
          </w:p>
        </w:tc>
        <w:tc>
          <w:tcPr>
            <w:tcW w:type="dxa" w:w="2355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04_datos_sinteticos.md</w:t>
            </w:r>
          </w:p>
        </w:tc>
      </w:tr>
      <w:tr>
        <w:tc>
          <w:tcPr>
            <w:tcW w:type="dxa" w:w="153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G5 SQL</w:t>
            </w:r>
          </w:p>
        </w:tc>
        <w:tc>
          <w:tcPr>
            <w:tcW w:type="dxa" w:w="307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30 consultas explicables, ≥ 5 validaciones cruzadas</w:t>
            </w:r>
          </w:p>
        </w:tc>
        <w:tc>
          <w:tcPr>
            <w:tcW w:type="dxa" w:w="3277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 · 30 consultas + 7 validaciones</w:t>
            </w:r>
          </w:p>
        </w:tc>
        <w:tc>
          <w:tcPr>
            <w:tcW w:type="dxa" w:w="2355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g5_results.md</w:t>
            </w:r>
          </w:p>
        </w:tc>
      </w:tr>
      <w:tr>
        <w:tc>
          <w:tcPr>
            <w:tcW w:type="dxa" w:w="153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G6 Calidad</w:t>
            </w:r>
          </w:p>
        </w:tc>
        <w:tc>
          <w:tcPr>
            <w:tcW w:type="dxa" w:w="307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Auditoría automatizada, 0 FAIL críticos, antes/después</w:t>
            </w:r>
          </w:p>
        </w:tc>
        <w:tc>
          <w:tcPr>
            <w:tcW w:type="dxa" w:w="3277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 · 76 pruebas; 98,3 → 99,6; 7/7 defectos detectados</w:t>
            </w:r>
          </w:p>
        </w:tc>
        <w:tc>
          <w:tcPr>
            <w:tcW w:type="dxa" w:w="2355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g6_quality_before_after.md</w:t>
            </w:r>
          </w:p>
        </w:tc>
      </w:tr>
      <w:tr>
        <w:tc>
          <w:tcPr>
            <w:tcW w:type="dxa" w:w="153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G7 Rendimiento</w:t>
            </w:r>
          </w:p>
        </w:tc>
        <w:tc>
          <w:tcPr>
            <w:tcW w:type="dxa" w:w="307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≥ 5 EXPLAIN antes/después, índices justificados, RBAC</w:t>
            </w:r>
          </w:p>
        </w:tc>
        <w:tc>
          <w:tcPr>
            <w:tcW w:type="dxa" w:w="3277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 · 10 consultas; retiro × 82; RBAC 23/23</w:t>
            </w:r>
          </w:p>
        </w:tc>
        <w:tc>
          <w:tcPr>
            <w:tcW w:type="dxa" w:w="2355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g7_explain.md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g7_security.md</w:t>
            </w:r>
          </w:p>
        </w:tc>
      </w:tr>
      <w:tr>
        <w:tc>
          <w:tcPr>
            <w:tcW w:type="dxa" w:w="153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G8 Cierre</w:t>
            </w:r>
          </w:p>
        </w:tc>
        <w:tc>
          <w:tcPr>
            <w:tcW w:type="dxa" w:w="307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Repositorio reproducible, ERD final, informe, matriz IA, defensa</w:t>
            </w:r>
          </w:p>
        </w:tc>
        <w:tc>
          <w:tcPr>
            <w:tcW w:type="dxa" w:w="3277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PASS · reconstrucción en un paso; ERD = DDL</w:t>
            </w:r>
          </w:p>
        </w:tc>
        <w:tc>
          <w:tcPr>
            <w:tcW w:type="dxa" w:w="2355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g8_reconstruccion.txt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defensa.md</w:t>
            </w:r>
          </w:p>
        </w:tc>
      </w:tr>
    </w:tbl>
    <w:p>
      <w:pPr>
        <w:pStyle w:val="Heading1"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Arquitectura</w:t>
      </w:r>
    </w:p>
    <w:p>
      <w:pPr>
        <w:spacing w:after="80" w:line="252"/>
      </w:pPr>
      <w:r>
        <w:rPr>
          <w:rFonts w:ascii="Calibri" w:cs="Calibri" w:eastAsia="Calibri" w:hAnsi="Calibri"/>
          <w:sz w:val="20"/>
          <w:szCs w:val="20"/>
        </w:rPr>
        <w:t xml:space="preserve">El modelo está en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3FN</w:t>
      </w:r>
      <w:r>
        <w:rPr>
          <w:rFonts w:ascii="Calibri" w:cs="Calibri" w:eastAsia="Calibri" w:hAnsi="Calibri"/>
          <w:sz w:val="20"/>
          <w:szCs w:val="20"/>
        </w:rPr>
        <w:t xml:space="preserve"> y separado en cinco esquemas. Esa separación es la frontera de los permisos: un rol puede ver clientes y cuentas sin ver la seguridad ni la auditoría.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4"/>
        <w:gridCol w:w="819"/>
        <w:gridCol w:w="8397"/>
      </w:tblGrid>
      <w:tr>
        <w:trPr>
          <w:tblHeader/>
        </w:trPr>
        <w:tc>
          <w:tcPr>
            <w:tcW w:type="dxa" w:w="1024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Esquema</w:t>
            </w:r>
          </w:p>
        </w:tc>
        <w:tc>
          <w:tcPr>
            <w:tcW w:type="dxa" w:w="819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Tablas</w:t>
            </w:r>
          </w:p>
        </w:tc>
        <w:tc>
          <w:tcPr>
            <w:tcW w:type="dxa" w:w="8397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Contenido</w:t>
            </w:r>
          </w:p>
        </w:tc>
      </w:tr>
      <w:tr>
        <w:tc>
          <w:tcPr>
            <w:tcW w:type="dxa" w:w="1024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ref</w:t>
            </w:r>
          </w:p>
        </w:tc>
        <w:tc>
          <w:tcPr>
            <w:tcW w:type="dxa" w:w="819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12</w:t>
            </w:r>
          </w:p>
        </w:tc>
        <w:tc>
          <w:tcPr>
            <w:tcW w:type="dxa" w:w="8397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Catálogos: geografía DIVIPOLA (departamento, municipio), oficinas, monedas, tipos de documento, estados, tipos de transacción, plan de cuentas contables y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transiciones válidas de estado de una cuenta</w:t>
            </w:r>
          </w:p>
        </w:tc>
      </w:tr>
      <w:tr>
        <w:tc>
          <w:tcPr>
            <w:tcW w:type="dxa" w:w="1024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core</w:t>
            </w:r>
          </w:p>
        </w:tc>
        <w:tc>
          <w:tcPr>
            <w:tcW w:type="dxa" w:w="819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</w:t>
            </w:r>
          </w:p>
        </w:tc>
        <w:tc>
          <w:tcPr>
            <w:tcW w:type="dxa" w:w="8397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Cliente (supertipo) con persona natural y jurídica (subtipos 1:1), producto, cuenta, titularidad N:M con rol y vigencia, eventos de la cuenta y cambios de límite</w:t>
            </w:r>
          </w:p>
        </w:tc>
      </w:tr>
      <w:tr>
        <w:tc>
          <w:tcPr>
            <w:tcW w:type="dxa" w:w="1024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fin</w:t>
            </w:r>
          </w:p>
        </w:tc>
        <w:tc>
          <w:tcPr>
            <w:tcW w:type="dxa" w:w="819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8397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Transacción financiera (con clave de idempotencia y estado) y asiento contable (doble partida)</w:t>
            </w:r>
          </w:p>
        </w:tc>
      </w:tr>
      <w:tr>
        <w:tc>
          <w:tcPr>
            <w:tcW w:type="dxa" w:w="1024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seg</w:t>
            </w:r>
          </w:p>
        </w:tc>
        <w:tc>
          <w:tcPr>
            <w:tcW w:type="dxa" w:w="819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8397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Usuarios internos, roles, permisos y sus asignaciones con vigencia</w:t>
            </w:r>
          </w:p>
        </w:tc>
      </w:tr>
      <w:tr>
        <w:tc>
          <w:tcPr>
            <w:tcW w:type="dxa" w:w="1024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aud</w:t>
            </w:r>
          </w:p>
        </w:tc>
        <w:tc>
          <w:tcPr>
            <w:tcW w:type="dxa" w:w="819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8397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Bitácora de auditoría inmutable: quién (empleado y usuario de BD), qué, cuándo, imagen antes y después</w:t>
            </w:r>
          </w:p>
        </w:tc>
      </w:tr>
    </w:tbl>
    <w:p>
      <w:pPr>
        <w:spacing w:after="60"/>
      </w:pPr>
    </w:p>
    <w:p>
      <w:pPr>
        <w:spacing w:after="20"/>
        <w:jc w:val="center"/>
      </w:pPr>
      <w:r>
        <w:drawing>
          <wp:inline distT="0" distB="0" distL="0" distR="0">
            <wp:extent cx="62865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252"/>
        <w:jc w:val="center"/>
      </w:pPr>
      <w:r>
        <w:rPr>
          <w:rFonts w:ascii="Calibri" w:cs="Calibri" w:eastAsia="Calibri" w:hAnsi="Calibri"/>
          <w:b/>
          <w:bCs/>
          <w:sz w:val="17"/>
          <w:szCs w:val="17"/>
        </w:rPr>
        <w:t xml:space="preserve">Figura 1.</w:t>
      </w:r>
      <w:r>
        <w:rPr>
          <w:rFonts w:ascii="Calibri" w:cs="Calibri" w:eastAsia="Calibri" w:hAnsi="Calibri"/>
          <w:sz w:val="17"/>
          <w:szCs w:val="17"/>
        </w:rPr>
        <w:t xml:space="preserve"> ERD final: 28 tablas y 42 relaciones. Se </w:t>
      </w:r>
      <w:r>
        <w:rPr>
          <w:rFonts w:ascii="Calibri" w:cs="Calibri" w:eastAsia="Calibri" w:hAnsi="Calibri"/>
          <w:b/>
          <w:bCs/>
          <w:sz w:val="17"/>
          <w:szCs w:val="17"/>
        </w:rPr>
        <w:t xml:space="preserve">genera desde el catálogo</w:t>
      </w:r>
      <w:r>
        <w:rPr>
          <w:rFonts w:ascii="Calibri" w:cs="Calibri" w:eastAsia="Calibri" w:hAnsi="Calibri"/>
          <w:sz w:val="17"/>
          <w:szCs w:val="17"/>
        </w:rPr>
        <w:t xml:space="preserve"> de PostgreSQL (</w:t>
      </w:r>
      <w:r>
        <w:rPr>
          <w:rFonts w:ascii="Consolas" w:cs="Consolas" w:eastAsia="Consolas" w:hAnsi="Consolas"/>
          <w:color w:val="333333"/>
          <w:sz w:val="15"/>
          <w:szCs w:val="15"/>
        </w:rPr>
        <w:t xml:space="preserve">sql/tests/g8_erd_desde_catalogo.sql</w:t>
      </w:r>
      <w:r>
        <w:rPr>
          <w:rFonts w:ascii="Calibri" w:cs="Calibri" w:eastAsia="Calibri" w:hAnsi="Calibri"/>
          <w:sz w:val="17"/>
          <w:szCs w:val="17"/>
        </w:rPr>
        <w:t xml:space="preserve">), así que coincide con el DDL ejecutado; además es idéntico al ERD aprobado en G2. Versión completa: </w:t>
      </w:r>
      <w:r>
        <w:rPr>
          <w:rFonts w:ascii="Consolas" w:cs="Consolas" w:eastAsia="Consolas" w:hAnsi="Consolas"/>
          <w:color w:val="333333"/>
          <w:sz w:val="15"/>
          <w:szCs w:val="15"/>
        </w:rPr>
        <w:t xml:space="preserve">docs/erd_final.png</w:t>
      </w:r>
      <w:r>
        <w:rPr>
          <w:rFonts w:ascii="Calibri" w:cs="Calibri" w:eastAsia="Calibri" w:hAnsi="Calibri"/>
          <w:sz w:val="17"/>
          <w:szCs w:val="17"/>
        </w:rPr>
        <w:t xml:space="preserve">.</w:t>
      </w:r>
    </w:p>
    <w:p>
      <w:pPr>
        <w:pStyle w:val="Heading2"/>
        <w:spacing w:after="60" w:before="1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Cómo se procesa una operación de dinero (ejemplo: un retiro)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El empleado llama a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fin.fn_retirar</w:t>
      </w:r>
      <w:r>
        <w:rPr>
          <w:rFonts w:ascii="Calibri" w:cs="Calibri" w:eastAsia="Calibri" w:hAnsi="Calibri"/>
          <w:sz w:val="20"/>
          <w:szCs w:val="20"/>
        </w:rPr>
        <w:t xml:space="preserve"> (función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SECURITY DEFINER</w:t>
      </w:r>
      <w:r>
        <w:rPr>
          <w:rFonts w:ascii="Calibri" w:cs="Calibri" w:eastAsia="Calibri" w:hAnsi="Calibri"/>
          <w:sz w:val="20"/>
          <w:szCs w:val="20"/>
        </w:rPr>
        <w:t xml:space="preserve"> con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search_path</w:t>
      </w:r>
      <w:r>
        <w:rPr>
          <w:rFonts w:ascii="Calibri" w:cs="Calibri" w:eastAsia="Calibri" w:hAnsi="Calibri"/>
          <w:sz w:val="20"/>
          <w:szCs w:val="20"/>
        </w:rPr>
        <w:t xml:space="preserve"> fijo). Ningún rol de la aplicación puede escribir directamente en las tablas de dinero.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seg.fn_exigir_permiso</w:t>
      </w:r>
      <w:r>
        <w:rPr>
          <w:rFonts w:ascii="Calibri" w:cs="Calibri" w:eastAsia="Calibri" w:hAnsi="Calibri"/>
          <w:sz w:val="20"/>
          <w:szCs w:val="20"/>
        </w:rPr>
        <w:t xml:space="preserve"> verifica que el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empleado</w:t>
      </w:r>
      <w:r>
        <w:rPr>
          <w:rFonts w:ascii="Calibri" w:cs="Calibri" w:eastAsia="Calibri" w:hAnsi="Calibri"/>
          <w:sz w:val="20"/>
          <w:szCs w:val="20"/>
        </w:rPr>
        <w:t xml:space="preserve"> tenga el permiso por un rol vigente (segundo nivel de seguridad, error BA001).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Se revisa la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clave de idempotencia</w:t>
      </w:r>
      <w:r>
        <w:rPr>
          <w:rFonts w:ascii="Calibri" w:cs="Calibri" w:eastAsia="Calibri" w:hAnsi="Calibri"/>
          <w:sz w:val="20"/>
          <w:szCs w:val="20"/>
        </w:rPr>
        <w:t xml:space="preserve">: si la solicitud ya existe, se devuelve la misma transacción.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Se bloquea la cuenta con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SELECT … FOR UPDATE</w:t>
      </w:r>
      <w:r>
        <w:rPr>
          <w:rFonts w:ascii="Calibri" w:cs="Calibri" w:eastAsia="Calibri" w:hAnsi="Calibri"/>
          <w:sz w:val="20"/>
          <w:szCs w:val="20"/>
        </w:rPr>
        <w:t xml:space="preserve"> (en orden de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cuenta_id</w:t>
      </w:r>
      <w:r>
        <w:rPr>
          <w:rFonts w:ascii="Calibri" w:cs="Calibri" w:eastAsia="Calibri" w:hAnsi="Calibri"/>
          <w:sz w:val="20"/>
          <w:szCs w:val="20"/>
        </w:rPr>
        <w:t xml:space="preserve"> cuando son dos) y se validan el estado, los fondos más el cupo y el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límite diario vigente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fn_contabilizar</w:t>
      </w:r>
      <w:r>
        <w:rPr>
          <w:rFonts w:ascii="Calibri" w:cs="Calibri" w:eastAsia="Calibri" w:hAnsi="Calibri"/>
          <w:sz w:val="20"/>
          <w:szCs w:val="20"/>
        </w:rPr>
        <w:t xml:space="preserve"> inserta la transacción POSTED y sus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2 asientos</w:t>
      </w:r>
      <w:r>
        <w:rPr>
          <w:rFonts w:ascii="Calibri" w:cs="Calibri" w:eastAsia="Calibri" w:hAnsi="Calibri"/>
          <w:sz w:val="20"/>
          <w:szCs w:val="20"/>
        </w:rPr>
        <w:t xml:space="preserve"> en una sola sentencia, y aplica el saldo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desde los asientos</w:t>
      </w:r>
      <w:r>
        <w:rPr>
          <w:rFonts w:ascii="Calibri" w:cs="Calibri" w:eastAsia="Calibri" w:hAnsi="Calibri"/>
          <w:sz w:val="20"/>
          <w:szCs w:val="20"/>
        </w:rPr>
        <w:t xml:space="preserve">. Los triggers diferidos verifican el cuadre al confirmar y el trigger de auditoría registra quién lo hizo.</w:t>
      </w:r>
    </w:p>
    <w:p>
      <w:p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Así, los riesgos de consistencia identificados en G1 quedan controlados por la base de datos y no por la buena voluntad de la aplicación: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2"/>
        <w:gridCol w:w="4096"/>
        <w:gridCol w:w="2662"/>
      </w:tblGrid>
      <w:tr>
        <w:trPr>
          <w:tblHeader/>
        </w:trPr>
        <w:tc>
          <w:tcPr>
            <w:tcW w:type="dxa" w:w="348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Riesgo (G1)</w:t>
            </w:r>
          </w:p>
        </w:tc>
        <w:tc>
          <w:tcPr>
            <w:tcW w:type="dxa" w:w="409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Control en PostgreSQL</w:t>
            </w:r>
          </w:p>
        </w:tc>
        <w:tc>
          <w:tcPr>
            <w:tcW w:type="dxa" w:w="266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Evidencia</w:t>
            </w:r>
          </w:p>
        </w:tc>
      </w:tr>
      <w:tr>
        <w:tc>
          <w:tcPr>
            <w:tcW w:type="dxa" w:w="348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Saldo desalineado con los asientos</w:t>
            </w:r>
          </w:p>
        </w:tc>
        <w:tc>
          <w:tcPr>
            <w:tcW w:type="dxa" w:w="409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Saldo aplicado desde el ledger + vista de reconciliación</w:t>
            </w:r>
          </w:p>
        </w:tc>
        <w:tc>
          <w:tcPr>
            <w:tcW w:type="dxa" w:w="266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G6 S01–S02 = 0; demo 3</w:t>
            </w:r>
          </w:p>
        </w:tc>
      </w:tr>
      <w:tr>
        <w:tc>
          <w:tcPr>
            <w:tcW w:type="dxa" w:w="348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Doble retiro simultáneo</w:t>
            </w:r>
          </w:p>
        </w:tc>
        <w:tc>
          <w:tcPr>
            <w:tcW w:type="dxa" w:w="409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FOR UPDATE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en orden de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cuenta_id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READ COMMITTED</w:t>
            </w:r>
          </w:p>
        </w:tc>
        <w:tc>
          <w:tcPr>
            <w:tcW w:type="dxa" w:w="266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Prueba de concurrencia CT-1</w:t>
            </w:r>
          </w:p>
        </w:tc>
      </w:tr>
      <w:tr>
        <w:tc>
          <w:tcPr>
            <w:tcW w:type="dxa" w:w="348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Reintento por falla de red</w:t>
            </w:r>
          </w:p>
        </w:tc>
        <w:tc>
          <w:tcPr>
            <w:tcW w:type="dxa" w:w="409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idempotency_key UNIQUE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ON CONFLICT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+ huella de la solicitud</w:t>
            </w:r>
          </w:p>
        </w:tc>
        <w:tc>
          <w:tcPr>
            <w:tcW w:type="dxa" w:w="266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CT-3; demo 4</w:t>
            </w:r>
          </w:p>
        </w:tc>
      </w:tr>
      <w:tr>
        <w:tc>
          <w:tcPr>
            <w:tcW w:type="dxa" w:w="348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Transferencia interrumpida</w:t>
            </w:r>
          </w:p>
        </w:tc>
        <w:tc>
          <w:tcPr>
            <w:tcW w:type="dxa" w:w="409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Una función = una sentencia atómica; cuadre diferido</w:t>
            </w:r>
          </w:p>
        </w:tc>
        <w:tc>
          <w:tcPr>
            <w:tcW w:type="dxa" w:w="266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T06; demo 5</w:t>
            </w:r>
          </w:p>
        </w:tc>
      </w:tr>
      <w:tr>
        <w:tc>
          <w:tcPr>
            <w:tcW w:type="dxa" w:w="348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Estado distinto del historial</w:t>
            </w:r>
          </w:p>
        </w:tc>
        <w:tc>
          <w:tcPr>
            <w:tcW w:type="dxa" w:w="409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estado solo cambia con un evento; transiciones en tabla con FK</w:t>
            </w:r>
          </w:p>
        </w:tc>
        <w:tc>
          <w:tcPr>
            <w:tcW w:type="dxa" w:w="266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T33/T34; G6 S03</w:t>
            </w:r>
          </w:p>
        </w:tc>
      </w:tr>
      <w:tr>
        <w:tc>
          <w:tcPr>
            <w:tcW w:type="dxa" w:w="348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Corrección directa de transacciones</w:t>
            </w:r>
          </w:p>
        </w:tc>
        <w:tc>
          <w:tcPr>
            <w:tcW w:type="dxa" w:w="409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Triggers de inmutabilidad (también TRUNCATE); solo reversos</w:t>
            </w:r>
          </w:p>
        </w:tc>
        <w:tc>
          <w:tcPr>
            <w:tcW w:type="dxa" w:w="266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T05a–d; demo 1</w:t>
            </w:r>
          </w:p>
        </w:tc>
      </w:tr>
      <w:tr>
        <w:tc>
          <w:tcPr>
            <w:tcW w:type="dxa" w:w="348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Privilegios excesivos</w:t>
            </w:r>
          </w:p>
        </w:tc>
        <w:tc>
          <w:tcPr>
            <w:tcW w:type="dxa" w:w="4096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 roles, nada para PUBLIC, sin DML directo; permisos por empleado</w:t>
            </w:r>
          </w:p>
        </w:tc>
        <w:tc>
          <w:tcPr>
            <w:tcW w:type="dxa" w:w="266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RBAC 23/23 (G7)</w:t>
            </w:r>
          </w:p>
        </w:tc>
      </w:tr>
    </w:tbl>
    <w:p>
      <w:pPr>
        <w:pStyle w:val="Heading1"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Decisiones de diseño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2"/>
        <w:gridCol w:w="2253"/>
        <w:gridCol w:w="3072"/>
        <w:gridCol w:w="1843"/>
      </w:tblGrid>
      <w:tr>
        <w:trPr>
          <w:tblHeader/>
        </w:trPr>
        <w:tc>
          <w:tcPr>
            <w:tcW w:type="dxa" w:w="307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Decisión</w:t>
            </w:r>
          </w:p>
        </w:tc>
        <w:tc>
          <w:tcPr>
            <w:tcW w:type="dxa" w:w="225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Alternativa descartada</w:t>
            </w:r>
          </w:p>
        </w:tc>
        <w:tc>
          <w:tcPr>
            <w:tcW w:type="dxa" w:w="307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Por qué</w:t>
            </w:r>
          </w:p>
        </w:tc>
        <w:tc>
          <w:tcPr>
            <w:tcW w:type="dxa" w:w="184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Evidencia</w:t>
            </w:r>
          </w:p>
        </w:tc>
      </w:tr>
      <w:tr>
        <w:tc>
          <w:tcPr>
            <w:tcW w:type="dxa" w:w="307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Ledger de doble partida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como fuente de verdad; el saldo es una caché reconciliada (DM-05, DC-04)</w:t>
            </w:r>
          </w:p>
        </w:tc>
        <w:tc>
          <w:tcPr>
            <w:tcW w:type="dxa" w:w="225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Guardar solo el saldo</w:t>
            </w:r>
          </w:p>
        </w:tc>
        <w:tc>
          <w:tcPr>
            <w:tcW w:type="dxa" w:w="307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Permite reconstruir y auditar cada peso; operaciones rápidas</w:t>
            </w:r>
          </w:p>
        </w:tc>
        <w:tc>
          <w:tcPr>
            <w:tcW w:type="dxa" w:w="184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G6 F01 = 100 %, S01 = 0</w:t>
            </w:r>
          </w:p>
        </w:tc>
      </w:tr>
      <w:tr>
        <w:tc>
          <w:tcPr>
            <w:tcW w:type="dxa" w:w="307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Dinero solo por funciones seguras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con bloqueo ordenado (DC-01, DC-03)</w:t>
            </w:r>
          </w:p>
        </w:tc>
        <w:tc>
          <w:tcPr>
            <w:tcW w:type="dxa" w:w="225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Permisos de escritura a la aplicación;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SERIALIZABLE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con reintentos</w:t>
            </w:r>
          </w:p>
        </w:tc>
        <w:tc>
          <w:tcPr>
            <w:tcW w:type="dxa" w:w="307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La regla no se puede saltar; sin doble retiro ni interbloqueos</w:t>
            </w:r>
          </w:p>
        </w:tc>
        <w:tc>
          <w:tcPr>
            <w:tcW w:type="dxa" w:w="184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CT-1 a CT-4; RBAC</w:t>
            </w:r>
          </w:p>
        </w:tc>
      </w:tr>
      <w:tr>
        <w:tc>
          <w:tcPr>
            <w:tcW w:type="dxa" w:w="307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Idempotencia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con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uuid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único por solicitud (DM-08)</w:t>
            </w:r>
          </w:p>
        </w:tc>
        <w:tc>
          <w:tcPr>
            <w:tcW w:type="dxa" w:w="225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Detectar duplicados por monto y fecha</w:t>
            </w:r>
          </w:p>
        </w:tc>
        <w:tc>
          <w:tcPr>
            <w:tcW w:type="dxa" w:w="307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doble clic o el reintento no crean otro movimiento (RN-38)</w:t>
            </w:r>
          </w:p>
        </w:tc>
        <w:tc>
          <w:tcPr>
            <w:tcW w:type="dxa" w:w="184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CT-3; demo 4</w:t>
            </w:r>
          </w:p>
        </w:tc>
      </w:tr>
      <w:tr>
        <w:tc>
          <w:tcPr>
            <w:tcW w:type="dxa" w:w="307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Estado de la cuenta por eventos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; transiciones válidas como datos (DM-03, DM-04, DC-05)</w:t>
            </w:r>
          </w:p>
        </w:tc>
        <w:tc>
          <w:tcPr>
            <w:tcW w:type="dxa" w:w="225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UPDATE directo del estado validado con código</w:t>
            </w:r>
          </w:p>
        </w:tc>
        <w:tc>
          <w:tcPr>
            <w:tcW w:type="dxa" w:w="307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Historial completo; la base rechaza transiciones inválidas</w:t>
            </w:r>
          </w:p>
        </w:tc>
        <w:tc>
          <w:tcPr>
            <w:tcW w:type="dxa" w:w="184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T33, T34; G6 S03, T05</w:t>
            </w:r>
          </w:p>
        </w:tc>
      </w:tr>
      <w:tr>
        <w:tc>
          <w:tcPr>
            <w:tcW w:type="dxa" w:w="307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Inmutabilidad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de lo contabilizado; correcciones con reverso (DM-06)</w:t>
            </w:r>
          </w:p>
        </w:tc>
        <w:tc>
          <w:tcPr>
            <w:tcW w:type="dxa" w:w="225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UPDATE o DELETE de la transacción</w:t>
            </w:r>
          </w:p>
        </w:tc>
        <w:tc>
          <w:tcPr>
            <w:tcW w:type="dxa" w:w="307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Registro contable y legal; trazabilidad completa</w:t>
            </w:r>
          </w:p>
        </w:tc>
        <w:tc>
          <w:tcPr>
            <w:tcW w:type="dxa" w:w="184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T05a–d, T07</w:t>
            </w:r>
          </w:p>
        </w:tc>
      </w:tr>
      <w:tr>
        <w:tc>
          <w:tcPr>
            <w:tcW w:type="dxa" w:w="307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Supertipo cliente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con subtipos 1:1 (DM-01)</w:t>
            </w:r>
          </w:p>
        </w:tc>
        <w:tc>
          <w:tcPr>
            <w:tcW w:type="dxa" w:w="225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Tabla única con nulos;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INHERITS</w:t>
            </w:r>
          </w:p>
        </w:tc>
        <w:tc>
          <w:tcPr>
            <w:tcW w:type="dxa" w:w="307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INHERITS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no propaga UNIQUE ni FK; documento único (RN-01)</w:t>
            </w:r>
          </w:p>
        </w:tc>
        <w:tc>
          <w:tcPr>
            <w:tcW w:type="dxa" w:w="184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G2; G6 U01, R05</w:t>
            </w:r>
          </w:p>
        </w:tc>
      </w:tr>
      <w:tr>
        <w:tc>
          <w:tcPr>
            <w:tcW w:type="dxa" w:w="307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NUMERIC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para el dinero (IA-10)</w:t>
            </w:r>
          </w:p>
        </w:tc>
        <w:tc>
          <w:tcPr>
            <w:tcW w:type="dxa" w:w="225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money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FLOAT</w:t>
            </w:r>
          </w:p>
        </w:tc>
        <w:tc>
          <w:tcPr>
            <w:tcW w:type="dxa" w:w="307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Precisión exacta, independiente de la configuración regional</w:t>
            </w:r>
          </w:p>
        </w:tc>
        <w:tc>
          <w:tcPr>
            <w:tcW w:type="dxa" w:w="184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G6 DS01 = 0</w:t>
            </w:r>
          </w:p>
        </w:tc>
      </w:tr>
      <w:tr>
        <w:tc>
          <w:tcPr>
            <w:tcW w:type="dxa" w:w="307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Índices solo con un EXPLAIN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que los justifique (DC-06, G7)</w:t>
            </w:r>
          </w:p>
        </w:tc>
        <w:tc>
          <w:tcPr>
            <w:tcW w:type="dxa" w:w="225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Indexar todas las FK desde el inicio</w:t>
            </w:r>
          </w:p>
        </w:tc>
        <w:tc>
          <w:tcPr>
            <w:tcW w:type="dxa" w:w="307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Evita la sobreindexación: cada índice cuesta en escritura y espacio</w:t>
            </w:r>
          </w:p>
        </w:tc>
        <w:tc>
          <w:tcPr>
            <w:tcW w:type="dxa" w:w="184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 índices; 3 casos sin índice</w:t>
            </w:r>
          </w:p>
        </w:tc>
      </w:tr>
      <w:tr>
        <w:tc>
          <w:tcPr>
            <w:tcW w:type="dxa" w:w="307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Carga masiva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con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\copy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triggers desactivados y validación en bloque,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registrada en la auditoría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(DC-07 + G6)</w:t>
            </w:r>
          </w:p>
        </w:tc>
        <w:tc>
          <w:tcPr>
            <w:tcW w:type="dxa" w:w="225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1.000.000 de INSERT con triggers</w:t>
            </w:r>
          </w:p>
        </w:tc>
        <w:tc>
          <w:tcPr>
            <w:tcW w:type="dxa" w:w="307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Lote 2 en 1–2 minutos; trazabilidad conservada</w:t>
            </w:r>
          </w:p>
        </w:tc>
        <w:tc>
          <w:tcPr>
            <w:tcW w:type="dxa" w:w="184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Controles 20/20 y 24/24; G6 A04</w:t>
            </w:r>
          </w:p>
        </w:tc>
      </w:tr>
    </w:tbl>
    <w:p>
      <w:pPr>
        <w:pStyle w:val="Heading1"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Resultados por gate</w:t>
      </w:r>
    </w:p>
    <w:p>
      <w:pPr>
        <w:pStyle w:val="ListParagraph"/>
        <w:numPr>
          <w:ilvl w:val="0"/>
          <w:numId w:val="3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G3 · Construcción.</w:t>
      </w:r>
      <w:r>
        <w:rPr>
          <w:rFonts w:ascii="Calibri" w:cs="Calibri" w:eastAsia="Calibri" w:hAnsi="Calibri"/>
          <w:sz w:val="20"/>
          <w:szCs w:val="20"/>
        </w:rPr>
        <w:t xml:space="preserve"> 49 pruebas en una sola transacción con ROLLBACK (39 negativas con su código de error esperado y 10 positivas), más 4 pruebas de concurrencia con dos sesiones.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run_all.sql</w:t>
      </w:r>
      <w:r>
        <w:rPr>
          <w:rFonts w:ascii="Calibri" w:cs="Calibri" w:eastAsia="Calibri" w:hAnsi="Calibri"/>
          <w:sz w:val="20"/>
          <w:szCs w:val="20"/>
        </w:rPr>
        <w:t xml:space="preserve"> corre dos veces seguidas sin errores. Resultado 49/49 en PostgreSQL 16 y en el 18.6 del equipo.</w:t>
      </w:r>
    </w:p>
    <w:p>
      <w:pPr>
        <w:pStyle w:val="ListParagraph"/>
        <w:numPr>
          <w:ilvl w:val="0"/>
          <w:numId w:val="3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G4 · Datos sintéticos.</w:t>
      </w:r>
      <w:r>
        <w:rPr>
          <w:rFonts w:ascii="Calibri" w:cs="Calibri" w:eastAsia="Calibri" w:hAnsi="Calibri"/>
          <w:sz w:val="20"/>
          <w:szCs w:val="20"/>
        </w:rPr>
        <w:t xml:space="preserve"> Faker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es_CO</w:t>
      </w:r>
      <w:r>
        <w:rPr>
          <w:rFonts w:ascii="Calibri" w:cs="Calibri" w:eastAsia="Calibri" w:hAnsi="Calibri"/>
          <w:sz w:val="20"/>
          <w:szCs w:val="20"/>
        </w:rPr>
        <w:t xml:space="preserve"> + un generador cronológico propio que respeta saldo, estado y límite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en cada momento</w:t>
      </w:r>
      <w:r>
        <w:rPr>
          <w:rFonts w:ascii="Calibri" w:cs="Calibri" w:eastAsia="Calibri" w:hAnsi="Calibri"/>
          <w:sz w:val="20"/>
          <w:szCs w:val="20"/>
        </w:rPr>
        <w:t xml:space="preserve">. Semilla 20260909: dos ejecuciones producen los 14 CSV con el mismo SHA-256. Las distribuciones no son uniformes: el departamento más grande tiene 9,6 veces el promedio; las cuentas por cliente tienen mediana 3 y máximo 300; el pico horario es 22,7 veces el valle.</w:t>
      </w:r>
    </w:p>
    <w:p>
      <w:pPr>
        <w:pStyle w:val="ListParagraph"/>
        <w:numPr>
          <w:ilvl w:val="0"/>
          <w:numId w:val="3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G5 · SQL.</w:t>
      </w:r>
      <w:r>
        <w:rPr>
          <w:rFonts w:ascii="Calibri" w:cs="Calibri" w:eastAsia="Calibri" w:hAnsi="Calibri"/>
          <w:sz w:val="20"/>
          <w:szCs w:val="20"/>
        </w:rPr>
        <w:t xml:space="preserve"> 30 consultas (10 básicas, 10 intermedias, 10 avanzadas, con ventanas, CTE y percentiles) y 7 validaciones cruzadas en PASS. Cada una tiene su explicación de negocio.</w:t>
      </w:r>
    </w:p>
    <w:p>
      <w:pPr>
        <w:pStyle w:val="ListParagraph"/>
        <w:numPr>
          <w:ilvl w:val="0"/>
          <w:numId w:val="3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G6 · Calidad de datos.</w:t>
      </w:r>
      <w:r>
        <w:rPr>
          <w:rFonts w:ascii="Calibri" w:cs="Calibri" w:eastAsia="Calibri" w:hAnsi="Calibri"/>
          <w:sz w:val="20"/>
          <w:szCs w:val="20"/>
        </w:rPr>
        <w:t xml:space="preserve"> 76 pruebas en las 12 categorías del Prompt 5, con puntajes por dimensión. El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antes</w:t>
      </w:r>
      <w:r>
        <w:rPr>
          <w:rFonts w:ascii="Calibri" w:cs="Calibri" w:eastAsia="Calibri" w:hAnsi="Calibri"/>
          <w:sz w:val="20"/>
          <w:szCs w:val="20"/>
        </w:rPr>
        <w:t xml:space="preserve"> se midió sin corregir nada (98,3 y 1 FAIL ALTA); después de corregir, el puntaje subió a 99,6 sin FAIL. En una copia de la base se metieron 7 defectos (ledger descuadrado, saldo alterado, documento duplicado, titular huérfano…) y el gate los detectó todos: QUALITY_GATE = FAIL.</w:t>
      </w:r>
    </w:p>
    <w:p>
      <w:pPr>
        <w:pStyle w:val="ListParagraph"/>
        <w:numPr>
          <w:ilvl w:val="0"/>
          <w:numId w:val="3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G7 · Rendimiento y seguridad.</w:t>
      </w:r>
      <w:r>
        <w:rPr>
          <w:rFonts w:ascii="Calibri" w:cs="Calibri" w:eastAsia="Calibri" w:hAnsi="Calibri"/>
          <w:sz w:val="20"/>
          <w:szCs w:val="20"/>
        </w:rPr>
        <w:t xml:space="preserve"> Mediciones del PC del equipo (PostgreSQL 18.6):</w:t>
      </w:r>
    </w:p>
    <w:p>
      <w:pPr>
        <w:spacing w:after="20"/>
      </w:pP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10"/>
        <w:gridCol w:w="1331"/>
        <w:gridCol w:w="1331"/>
        <w:gridCol w:w="2868"/>
      </w:tblGrid>
      <w:tr>
        <w:trPr>
          <w:tblHeader/>
        </w:trPr>
        <w:tc>
          <w:tcPr>
            <w:tcW w:type="dxa" w:w="471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Consulta u operación</w:t>
            </w:r>
          </w:p>
        </w:tc>
        <w:tc>
          <w:tcPr>
            <w:tcW w:type="dxa" w:w="1331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Antes</w:t>
            </w:r>
          </w:p>
        </w:tc>
        <w:tc>
          <w:tcPr>
            <w:tcW w:type="dxa" w:w="1331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Después</w:t>
            </w:r>
          </w:p>
        </w:tc>
        <w:tc>
          <w:tcPr>
            <w:tcW w:type="dxa" w:w="28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Plan después</w:t>
            </w:r>
          </w:p>
        </w:tc>
      </w:tr>
      <w:tr>
        <w:tc>
          <w:tcPr>
            <w:tcW w:type="dxa" w:w="471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OP1 · Retiro en caja (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fn_retirar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</w:t>
            </w:r>
          </w:p>
        </w:tc>
        <w:tc>
          <w:tcPr>
            <w:tcW w:type="dxa" w:w="1331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198,9 ms</w:t>
            </w:r>
          </w:p>
        </w:tc>
        <w:tc>
          <w:tcPr>
            <w:tcW w:type="dxa" w:w="1331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2,4 ms</w:t>
            </w:r>
          </w:p>
        </w:tc>
        <w:tc>
          <w:tcPr>
            <w:tcW w:type="dxa" w:w="28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× 82</w:t>
            </w:r>
          </w:p>
        </w:tc>
      </w:tr>
      <w:tr>
        <w:tc>
          <w:tcPr>
            <w:tcW w:type="dxa" w:w="471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OP3 · Inactivar cuentas sin movimiento (4.018)</w:t>
            </w:r>
          </w:p>
        </w:tc>
        <w:tc>
          <w:tcPr>
            <w:tcW w:type="dxa" w:w="1331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51,9 s</w:t>
            </w:r>
          </w:p>
        </w:tc>
        <w:tc>
          <w:tcPr>
            <w:tcW w:type="dxa" w:w="1331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5,4 s</w:t>
            </w:r>
          </w:p>
        </w:tc>
        <w:tc>
          <w:tcPr>
            <w:tcW w:type="dxa" w:w="28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× 9,7 (índice + reescritura)</w:t>
            </w:r>
          </w:p>
        </w:tc>
      </w:tr>
      <w:tr>
        <w:tc>
          <w:tcPr>
            <w:tcW w:type="dxa" w:w="471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W01 · Límite diario de retiro</w:t>
            </w:r>
          </w:p>
        </w:tc>
        <w:tc>
          <w:tcPr>
            <w:tcW w:type="dxa" w:w="1331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68,9 ms</w:t>
            </w:r>
          </w:p>
        </w:tc>
        <w:tc>
          <w:tcPr>
            <w:tcW w:type="dxa" w:w="1331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0,010 ms</w:t>
            </w:r>
          </w:p>
        </w:tc>
        <w:tc>
          <w:tcPr>
            <w:tcW w:type="dxa" w:w="28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Index Scan · 16.889 → 4 buffers</w:t>
            </w:r>
          </w:p>
        </w:tc>
      </w:tr>
      <w:tr>
        <w:tc>
          <w:tcPr>
            <w:tcW w:type="dxa" w:w="471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W02 · Extracto mensual de una cuenta</w:t>
            </w:r>
          </w:p>
        </w:tc>
        <w:tc>
          <w:tcPr>
            <w:tcW w:type="dxa" w:w="1331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106,9 ms</w:t>
            </w:r>
          </w:p>
        </w:tc>
        <w:tc>
          <w:tcPr>
            <w:tcW w:type="dxa" w:w="1331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0,021 ms</w:t>
            </w:r>
          </w:p>
        </w:tc>
        <w:tc>
          <w:tcPr>
            <w:tcW w:type="dxa" w:w="28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Index Scan (índice parcial)</w:t>
            </w:r>
          </w:p>
        </w:tc>
      </w:tr>
      <w:tr>
        <w:tc>
          <w:tcPr>
            <w:tcW w:type="dxa" w:w="471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W07 · Cola de ajustes pendientes</w:t>
            </w:r>
          </w:p>
        </w:tc>
        <w:tc>
          <w:tcPr>
            <w:tcW w:type="dxa" w:w="1331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57,9 ms</w:t>
            </w:r>
          </w:p>
        </w:tc>
        <w:tc>
          <w:tcPr>
            <w:tcW w:type="dxa" w:w="1331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0,021 ms</w:t>
            </w:r>
          </w:p>
        </w:tc>
        <w:tc>
          <w:tcPr>
            <w:tcW w:type="dxa" w:w="28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Índice parcial de 16 kB</w:t>
            </w:r>
          </w:p>
        </w:tc>
      </w:tr>
      <w:tr>
        <w:tc>
          <w:tcPr>
            <w:tcW w:type="dxa" w:w="471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W08 · Cliente por documento</w:t>
            </w:r>
          </w:p>
        </w:tc>
        <w:tc>
          <w:tcPr>
            <w:tcW w:type="dxa" w:w="1331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0,014 ms</w:t>
            </w:r>
          </w:p>
        </w:tc>
        <w:tc>
          <w:tcPr>
            <w:tcW w:type="dxa" w:w="1331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0,015 ms</w:t>
            </w:r>
          </w:p>
        </w:tc>
        <w:tc>
          <w:tcPr>
            <w:tcW w:type="dxa" w:w="28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No crear índice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: ya existe UNIQUE</w:t>
            </w:r>
          </w:p>
        </w:tc>
      </w:tr>
      <w:tr>
        <w:tc>
          <w:tcPr>
            <w:tcW w:type="dxa" w:w="471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W10 · Reporte de movimientos atípicos</w:t>
            </w:r>
          </w:p>
        </w:tc>
        <w:tc>
          <w:tcPr>
            <w:tcW w:type="dxa" w:w="1331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3,0 s</w:t>
            </w:r>
          </w:p>
        </w:tc>
        <w:tc>
          <w:tcPr>
            <w:tcW w:type="dxa" w:w="1331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3,5 s</w:t>
            </w:r>
          </w:p>
        </w:tc>
        <w:tc>
          <w:tcPr>
            <w:tcW w:type="dxa" w:w="286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Regresión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documentada (§5)</w:t>
            </w:r>
          </w:p>
        </w:tc>
      </w:tr>
    </w:tbl>
    <w:p>
      <w:pPr>
        <w:spacing w:after="40"/>
      </w:pPr>
    </w:p>
    <w:p>
      <w:pPr>
        <w:spacing w:after="80" w:line="252"/>
      </w:pPr>
      <w:r>
        <w:rPr>
          <w:rFonts w:ascii="Calibri" w:cs="Calibri" w:eastAsia="Calibri" w:hAnsi="Calibri"/>
          <w:sz w:val="20"/>
          <w:szCs w:val="20"/>
        </w:rPr>
        <w:t xml:space="preserve">Costo de los 6 índices: 86 MB (+18 %) y +16 s en la carga del lote 2. Seguridad: 23 pruebas con un usuario por rol, 8 accesos permitidos y 15 denegados, 0 fallas. Incluye un caso en que la base permite la operación pero la aplicación la niega porque el empleado no tiene el rol.</w:t>
      </w:r>
    </w:p>
    <w:p>
      <w:pPr>
        <w:pStyle w:val="Heading1"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Hallazgos y errores descubiertos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2"/>
        <w:gridCol w:w="2253"/>
        <w:gridCol w:w="3482"/>
        <w:gridCol w:w="1023"/>
      </w:tblGrid>
      <w:tr>
        <w:trPr>
          <w:tblHeader/>
        </w:trPr>
        <w:tc>
          <w:tcPr>
            <w:tcW w:type="dxa" w:w="348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Hallazgo</w:t>
            </w:r>
          </w:p>
        </w:tc>
        <w:tc>
          <w:tcPr>
            <w:tcW w:type="dxa" w:w="225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Cómo se detectó</w:t>
            </w:r>
          </w:p>
        </w:tc>
        <w:tc>
          <w:tcPr>
            <w:tcW w:type="dxa" w:w="348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Corrección</w:t>
            </w:r>
          </w:p>
        </w:tc>
        <w:tc>
          <w:tcPr>
            <w:tcW w:type="dxa" w:w="102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Gate</w:t>
            </w:r>
          </w:p>
        </w:tc>
      </w:tr>
      <w:tr>
        <w:tc>
          <w:tcPr>
            <w:tcW w:type="dxa" w:w="348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La carga masiva dejó 3,2 millones de filas sin rastro en la auditoría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(triggers desactivados)</w:t>
            </w:r>
          </w:p>
        </w:tc>
        <w:tc>
          <w:tcPr>
            <w:tcW w:type="dxa" w:w="225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Quality gate sin corregir: A04 = FAIL</w:t>
            </w:r>
          </w:p>
        </w:tc>
        <w:tc>
          <w:tcPr>
            <w:tcW w:type="dxa" w:w="348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Cada carga registra usuario, hora, archivo y filas; A04 = PASS</w:t>
            </w:r>
          </w:p>
        </w:tc>
        <w:tc>
          <w:tcPr>
            <w:tcW w:type="dxa" w:w="102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G6</w:t>
            </w:r>
          </w:p>
        </w:tc>
      </w:tr>
      <w:tr>
        <w:tc>
          <w:tcPr>
            <w:tcW w:type="dxa" w:w="348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Cada retiro recorría el millón de transacciones con la cuenta bloqueada</w:t>
            </w:r>
          </w:p>
        </w:tc>
        <w:tc>
          <w:tcPr>
            <w:tcW w:type="dxa" w:w="225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EXPLAIN (ANALYZE, BUFFERS)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de las funciones</w:t>
            </w:r>
          </w:p>
        </w:tc>
        <w:tc>
          <w:tcPr>
            <w:tcW w:type="dxa" w:w="348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Índice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(cuenta_origen_id, fecha_contable)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: retiro × 82</w:t>
            </w:r>
          </w:p>
        </w:tc>
        <w:tc>
          <w:tcPr>
            <w:tcW w:type="dxa" w:w="102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G7</w:t>
            </w:r>
          </w:p>
        </w:tc>
      </w:tr>
      <w:tr>
        <w:tc>
          <w:tcPr>
            <w:tcW w:type="dxa" w:w="348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Un índice útil para el extracto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empeoró un reporte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(el planificador estimó mal)</w:t>
            </w:r>
          </w:p>
        </w:tc>
        <w:tc>
          <w:tcPr>
            <w:tcW w:type="dxa" w:w="225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Comparación antes/después de las 30 consultas de G5</w:t>
            </w:r>
          </w:p>
        </w:tc>
        <w:tc>
          <w:tcPr>
            <w:tcW w:type="dxa" w:w="348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 mantiene el índice; el reporte desactiva el index scan en su sesión</w:t>
            </w:r>
          </w:p>
        </w:tc>
        <w:tc>
          <w:tcPr>
            <w:tcW w:type="dxa" w:w="102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G7</w:t>
            </w:r>
          </w:p>
        </w:tc>
      </w:tr>
      <w:tr>
        <w:tc>
          <w:tcPr>
            <w:tcW w:type="dxa" w:w="348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El generador dejó 482 movimientos en cuentas por inactivar y 0 rechazos por límite</w:t>
            </w:r>
          </w:p>
        </w:tc>
        <w:tc>
          <w:tcPr>
            <w:tcW w:type="dxa" w:w="225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24 controles del lote 2</w:t>
            </w:r>
          </w:p>
        </w:tc>
        <w:tc>
          <w:tcPr>
            <w:tcW w:type="dxa" w:w="348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Tramos de inactividad corregidos; intentos que exceden el límite</w:t>
            </w:r>
          </w:p>
        </w:tc>
        <w:tc>
          <w:tcPr>
            <w:tcW w:type="dxa" w:w="102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G4</w:t>
            </w:r>
          </w:p>
        </w:tc>
      </w:tr>
      <w:tr>
        <w:tc>
          <w:tcPr>
            <w:tcW w:type="dxa" w:w="348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Comparar retiros con el límite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actual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producía días "al 180 %"</w:t>
            </w:r>
          </w:p>
        </w:tc>
        <w:tc>
          <w:tcPr>
            <w:tcW w:type="dxa" w:w="225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Resultado imposible en A07</w:t>
            </w:r>
          </w:p>
        </w:tc>
        <w:tc>
          <w:tcPr>
            <w:tcW w:type="dxa" w:w="348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Límite vigente reconstruido desde los eventos</w:t>
            </w:r>
          </w:p>
        </w:tc>
        <w:tc>
          <w:tcPr>
            <w:tcW w:type="dxa" w:w="102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G5</w:t>
            </w:r>
          </w:p>
        </w:tc>
      </w:tr>
      <w:tr>
        <w:tc>
          <w:tcPr>
            <w:tcW w:type="dxa" w:w="348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Subconsulta correlacionada de 2 min 39 s</w:t>
            </w:r>
          </w:p>
        </w:tc>
        <w:tc>
          <w:tcPr>
            <w:tcW w:type="dxa" w:w="225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Tiempo medido</w:t>
            </w:r>
          </w:p>
        </w:tc>
        <w:tc>
          <w:tcPr>
            <w:tcW w:type="dxa" w:w="348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CTE: milisegundos</w:t>
            </w:r>
          </w:p>
        </w:tc>
        <w:tc>
          <w:tcPr>
            <w:tcW w:type="dxa" w:w="102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G5</w:t>
            </w:r>
          </w:p>
        </w:tc>
      </w:tr>
      <w:tr>
        <w:tc>
          <w:tcPr>
            <w:tcW w:type="dxa" w:w="348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Vista de estado por eventos con </w:t>
            </w: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LATERAL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: 3 min 25 s</w:t>
            </w:r>
          </w:p>
        </w:tc>
        <w:tc>
          <w:tcPr>
            <w:tcW w:type="dxa" w:w="225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Prueba de G3 con el millón</w:t>
            </w:r>
          </w:p>
        </w:tc>
        <w:tc>
          <w:tcPr>
            <w:tcW w:type="dxa" w:w="348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onsolas" w:cs="Consolas" w:eastAsia="Consolas" w:hAnsi="Consolas"/>
                <w:color w:val="333333"/>
                <w:sz w:val="15"/>
                <w:szCs w:val="15"/>
              </w:rPr>
              <w:t xml:space="preserve">DISTINCT ON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: 4 s</w:t>
            </w:r>
          </w:p>
        </w:tc>
        <w:tc>
          <w:tcPr>
            <w:tcW w:type="dxa" w:w="102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G3</w:t>
            </w:r>
          </w:p>
        </w:tc>
      </w:tr>
      <w:tr>
        <w:tc>
          <w:tcPr>
            <w:tcW w:type="dxa" w:w="348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Tildes dañadas en Windows y filas decimales en EXPLAIN de PostgreSQL 18</w:t>
            </w:r>
          </w:p>
        </w:tc>
        <w:tc>
          <w:tcPr>
            <w:tcW w:type="dxa" w:w="225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Ejecución en el PC del equipo</w:t>
            </w:r>
          </w:p>
        </w:tc>
        <w:tc>
          <w:tcPr>
            <w:tcW w:type="dxa" w:w="3482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UTF-8 forzado en los scripts; probado en PG16 y PG18</w:t>
            </w:r>
          </w:p>
        </w:tc>
        <w:tc>
          <w:tcPr>
            <w:tcW w:type="dxa" w:w="1023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2F4F7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G7</w:t>
            </w:r>
          </w:p>
        </w:tc>
      </w:tr>
    </w:tbl>
    <w:p>
      <w:pPr>
        <w:spacing w:after="40"/>
      </w:pPr>
    </w:p>
    <w:p>
      <w:pPr>
        <w:spacing w:after="80" w:line="252"/>
      </w:pPr>
      <w:r>
        <w:rPr>
          <w:rFonts w:ascii="Calibri" w:cs="Calibri" w:eastAsia="Calibri" w:hAnsi="Calibri"/>
          <w:sz w:val="20"/>
          <w:szCs w:val="20"/>
        </w:rPr>
        <w:t xml:space="preserve">Lección común: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los errores aparecieron porque se midió</w:t>
      </w:r>
      <w:r>
        <w:rPr>
          <w:rFonts w:ascii="Calibri" w:cs="Calibri" w:eastAsia="Calibri" w:hAnsi="Calibri"/>
          <w:sz w:val="20"/>
          <w:szCs w:val="20"/>
        </w:rPr>
        <w:t xml:space="preserve">. La prueba A04, el EXPLAIN y los controles de carga encontraron problemas que una revisión de código no habría visto.</w:t>
      </w:r>
    </w:p>
    <w:p>
      <w:pPr>
        <w:pStyle w:val="Heading1"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Uso de la IA</w:t>
      </w:r>
    </w:p>
    <w:p>
      <w:pPr>
        <w:spacing w:after="80" w:line="252"/>
      </w:pPr>
      <w:r>
        <w:rPr>
          <w:rFonts w:ascii="Calibri" w:cs="Calibri" w:eastAsia="Calibri" w:hAnsi="Calibri"/>
          <w:sz w:val="20"/>
          <w:szCs w:val="20"/>
        </w:rPr>
        <w:t xml:space="preserve">Se registraron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46 decisiones</w:t>
      </w:r>
      <w:r>
        <w:rPr>
          <w:rFonts w:ascii="Calibri" w:cs="Calibri" w:eastAsia="Calibri" w:hAnsi="Calibri"/>
          <w:sz w:val="20"/>
          <w:szCs w:val="20"/>
        </w:rPr>
        <w:t xml:space="preserve"> sobre recomendaciones de la IA (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docs/matriz_ia.md</w:t>
      </w:r>
      <w:r>
        <w:rPr>
          <w:rFonts w:ascii="Calibri" w:cs="Calibri" w:eastAsia="Calibri" w:hAnsi="Calibri"/>
          <w:sz w:val="20"/>
          <w:szCs w:val="20"/>
        </w:rPr>
        <w:t xml:space="preserve">) y 12 prompts con su respuesta (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prompts/prompts_y_respuestas.md</w:t>
      </w:r>
      <w:r>
        <w:rPr>
          <w:rFonts w:ascii="Calibri" w:cs="Calibri" w:eastAsia="Calibri" w:hAnsi="Calibri"/>
          <w:sz w:val="20"/>
          <w:szCs w:val="20"/>
        </w:rPr>
        <w:t xml:space="preserve">):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7"/>
        <w:gridCol w:w="1707"/>
        <w:gridCol w:w="1707"/>
        <w:gridCol w:w="1707"/>
        <w:gridCol w:w="1707"/>
        <w:gridCol w:w="1705"/>
      </w:tblGrid>
      <w:tr>
        <w:trPr>
          <w:tblHeader/>
        </w:trPr>
        <w:tc>
          <w:tcPr>
            <w:tcW w:type="dxa" w:w="1707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Aceptar</w:t>
            </w:r>
          </w:p>
        </w:tc>
        <w:tc>
          <w:tcPr>
            <w:tcW w:type="dxa" w:w="1707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Modificar</w:t>
            </w:r>
          </w:p>
        </w:tc>
        <w:tc>
          <w:tcPr>
            <w:tcW w:type="dxa" w:w="1707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Rechazar</w:t>
            </w:r>
          </w:p>
        </w:tc>
        <w:tc>
          <w:tcPr>
            <w:tcW w:type="dxa" w:w="1707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Corregir (error de la IA)</w:t>
            </w:r>
          </w:p>
        </w:tc>
        <w:tc>
          <w:tcPr>
            <w:tcW w:type="dxa" w:w="1707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Aplazar</w:t>
            </w:r>
          </w:p>
        </w:tc>
        <w:tc>
          <w:tcPr>
            <w:tcW w:type="dxa" w:w="1705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Total</w:t>
            </w:r>
          </w:p>
        </w:tc>
      </w:tr>
      <w:tr>
        <w:tc>
          <w:tcPr>
            <w:tcW w:type="dxa" w:w="1707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19</w:t>
            </w:r>
          </w:p>
        </w:tc>
        <w:tc>
          <w:tcPr>
            <w:tcW w:type="dxa" w:w="1707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11</w:t>
            </w:r>
          </w:p>
        </w:tc>
        <w:tc>
          <w:tcPr>
            <w:tcW w:type="dxa" w:w="1707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</w:t>
            </w:r>
          </w:p>
        </w:tc>
        <w:tc>
          <w:tcPr>
            <w:tcW w:type="dxa" w:w="1707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1707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1705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line="228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46</w:t>
            </w:r>
          </w:p>
        </w:tc>
      </w:tr>
    </w:tbl>
    <w:p>
      <w:pPr>
        <w:spacing w:after="40"/>
      </w:pPr>
    </w:p>
    <w:p>
      <w:pPr>
        <w:spacing w:after="8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27 de 46 (59 %) no se aceptaron tal cual.</w:t>
      </w:r>
      <w:r>
        <w:rPr>
          <w:rFonts w:ascii="Calibri" w:cs="Calibri" w:eastAsia="Calibri" w:hAnsi="Calibri"/>
          <w:sz w:val="20"/>
          <w:szCs w:val="20"/>
        </w:rPr>
        <w:t xml:space="preserve"> Donde la IA más aportó: proponer alternativas (supertipo/subtipos, bloqueo ordenado, idempotencia), redactar SQL y documentación y revisar el modelo (Prompt 2A encontró 12 hallazgos). Donde más se equivocó: tomó decisiones sin medir (índices para los reportes, carga sin auditoría), interpretó mal instrucciones (10.000 cuentas en vez de 50.000) y no anticipó problemas de entorno (Windows, PostgreSQL 18). Ninguna de estas fallas llegó al resultado final: todas las detectó una prueba, un gate o la revisión del equipo.</w:t>
      </w:r>
    </w:p>
    <w:p>
      <w:pPr>
        <w:pStyle w:val="Heading1"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Limitaciones y mejoras</w:t>
      </w:r>
    </w:p>
    <w:p>
      <w:pPr>
        <w:pStyle w:val="ListParagraph"/>
        <w:numPr>
          <w:ilvl w:val="0"/>
          <w:numId w:val="3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Supuestos S1–S5</w:t>
      </w:r>
      <w:r>
        <w:rPr>
          <w:rFonts w:ascii="Calibri" w:cs="Calibri" w:eastAsia="Calibri" w:hAnsi="Calibri"/>
          <w:sz w:val="20"/>
          <w:szCs w:val="20"/>
        </w:rPr>
        <w:t xml:space="preserve"> adoptados por el equipo sin consultarlos con el docente; están documentados y cada uno tiene su regla verificable.</w:t>
      </w:r>
    </w:p>
    <w:p>
      <w:pPr>
        <w:pStyle w:val="ListParagraph"/>
        <w:numPr>
          <w:ilvl w:val="0"/>
          <w:numId w:val="3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Datos:</w:t>
      </w:r>
      <w:r>
        <w:rPr>
          <w:rFonts w:ascii="Calibri" w:cs="Calibri" w:eastAsia="Calibri" w:hAnsi="Calibri"/>
          <w:sz w:val="20"/>
          <w:szCs w:val="20"/>
        </w:rPr>
        <w:t xml:space="preserve"> los saldos parten de 0 en septiembre de 2024 (no se simula el histórico); las conversiones COP/USD no se modelan.</w:t>
      </w:r>
    </w:p>
    <w:p>
      <w:pPr>
        <w:pStyle w:val="ListParagraph"/>
        <w:numPr>
          <w:ilvl w:val="0"/>
          <w:numId w:val="3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Hacia 100 millones de movimientos:</w:t>
      </w:r>
      <w:r>
        <w:rPr>
          <w:rFonts w:ascii="Calibri" w:cs="Calibri" w:eastAsia="Calibri" w:hAnsi="Calibri"/>
          <w:sz w:val="20"/>
          <w:szCs w:val="20"/>
        </w:rPr>
        <w:t xml:space="preserve"> particionar transacciones y asientos por mes de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fecha_contable</w:t>
      </w:r>
      <w:r>
        <w:rPr>
          <w:rFonts w:ascii="Calibri" w:cs="Calibri" w:eastAsia="Calibri" w:hAnsi="Calibri"/>
          <w:sz w:val="20"/>
          <w:szCs w:val="20"/>
        </w:rPr>
        <w:t xml:space="preserve">, índices BRIN por fecha, réplica de lectura y vistas materializadas para los reportes, índices creados después de cada carga masiva,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autovacuum</w:t>
      </w:r>
      <w:r>
        <w:rPr>
          <w:rFonts w:ascii="Calibri" w:cs="Calibri" w:eastAsia="Calibri" w:hAnsi="Calibri"/>
          <w:sz w:val="20"/>
          <w:szCs w:val="20"/>
        </w:rPr>
        <w:t xml:space="preserve"> ajustado para tablas que solo reciben INSERT y un pool de conexiones. Las reglas (doble partida, inmutabilidad, idempotencia, bloqueo ordenado) se mantienen: trabajan por fila y por cuenta.</w:t>
      </w:r>
    </w:p>
    <w:p>
      <w:pPr>
        <w:pStyle w:val="ListParagraph"/>
        <w:numPr>
          <w:ilvl w:val="0"/>
          <w:numId w:val="3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Operación:</w:t>
      </w:r>
      <w:r>
        <w:rPr>
          <w:rFonts w:ascii="Calibri" w:cs="Calibri" w:eastAsia="Calibri" w:hAnsi="Calibri"/>
          <w:sz w:val="20"/>
          <w:szCs w:val="20"/>
        </w:rPr>
        <w:t xml:space="preserve"> correr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g8_reconstruir_todo.sql</w:t>
      </w:r>
      <w:r>
        <w:rPr>
          <w:rFonts w:ascii="Calibri" w:cs="Calibri" w:eastAsia="Calibri" w:hAnsi="Calibri"/>
          <w:sz w:val="20"/>
          <w:szCs w:val="20"/>
        </w:rPr>
        <w:t xml:space="preserve"> en integración continua (GitHub Actions con PostgreSQL), monitorear con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pg_stat_statements</w:t>
      </w:r>
      <w:r>
        <w:rPr>
          <w:rFonts w:ascii="Calibri" w:cs="Calibri" w:eastAsia="Calibri" w:hAnsi="Calibri"/>
          <w:sz w:val="20"/>
          <w:szCs w:val="20"/>
        </w:rPr>
        <w:t xml:space="preserve"> y usar usuarios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LOGIN</w:t>
      </w:r>
      <w:r>
        <w:rPr>
          <w:rFonts w:ascii="Calibri" w:cs="Calibri" w:eastAsia="Calibri" w:hAnsi="Calibri"/>
          <w:sz w:val="20"/>
          <w:szCs w:val="20"/>
        </w:rPr>
        <w:t xml:space="preserve"> con SCRAM y SSL en lugar de los usuarios de demostración.</w:t>
      </w:r>
    </w:p>
    <w:p>
      <w:pPr>
        <w:pStyle w:val="Heading1"/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 Reproducibilidad</w:t>
      </w:r>
    </w:p>
    <w:p>
      <w:pPr>
        <w:spacing w:after="80" w:line="252"/>
      </w:pPr>
      <w:r>
        <w:rPr>
          <w:rFonts w:ascii="Calibri" w:cs="Calibri" w:eastAsia="Calibri" w:hAnsi="Calibri"/>
          <w:sz w:val="20"/>
          <w:szCs w:val="20"/>
        </w:rPr>
        <w:t xml:space="preserve">Otro estudiante reconstruye el laboratorio completo con tres pasos, desde la carpeta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lab-postgresql-banco-ia</w:t>
      </w:r>
      <w:r>
        <w:rPr>
          <w:rFonts w:ascii="Calibri" w:cs="Calibri" w:eastAsia="Calibri" w:hAnsi="Calibri"/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4"/>
        </w:numPr>
        <w:spacing w:after="40" w:line="252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python src/generate_transactions.py</w:t>
      </w:r>
      <w:r>
        <w:rPr>
          <w:rFonts w:ascii="Calibri" w:cs="Calibri" w:eastAsia="Calibri" w:hAnsi="Calibri"/>
          <w:sz w:val="20"/>
          <w:szCs w:val="20"/>
        </w:rPr>
        <w:t xml:space="preserve">: genera el lote 2 (unos 30 s). El lote 1 ya viene en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data/lote1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4"/>
        </w:numPr>
        <w:spacing w:after="40" w:line="252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psql -U postgres -c "CREATE DATABASE banco_andino_lab"</w:t>
      </w:r>
    </w:p>
    <w:p>
      <w:pPr>
        <w:pStyle w:val="ListParagraph"/>
        <w:numPr>
          <w:ilvl w:val="0"/>
          <w:numId w:val="4"/>
        </w:numPr>
        <w:spacing w:after="40" w:line="252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psql -U postgres -d banco_andino_lab -f sql/g8_reconstruir_todo.sql</w:t>
      </w:r>
      <w:r>
        <w:rPr>
          <w:rFonts w:ascii="Calibri" w:cs="Calibri" w:eastAsia="Calibri" w:hAnsi="Calibri"/>
          <w:sz w:val="20"/>
          <w:szCs w:val="20"/>
        </w:rPr>
        <w:t xml:space="preserve">: modelo, 49 pruebas, cargas, perfil, quality gate y permisos. Termina en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G8 RECONSTRUCCIÓN = PASS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80" w:line="252"/>
      </w:pPr>
      <w:r>
        <w:rPr>
          <w:rFonts w:ascii="Calibri" w:cs="Calibri" w:eastAsia="Calibri" w:hAnsi="Calibri"/>
          <w:sz w:val="20"/>
          <w:szCs w:val="20"/>
        </w:rPr>
        <w:t xml:space="preserve">Si después Git no muestra cambios en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evidence/g4_data_profile.csv</w:t>
      </w:r>
      <w:r>
        <w:rPr>
          <w:rFonts w:ascii="Calibri" w:cs="Calibri" w:eastAsia="Calibri" w:hAnsi="Calibri"/>
          <w:sz w:val="20"/>
          <w:szCs w:val="20"/>
        </w:rPr>
        <w:t xml:space="preserve">, los datos reconstruidos son idénticos a los originales. Así se comprobó en el PC del equipo (Windows, PostgreSQL 18.6): la reconstrucción tardó 10 minutos, terminó en PASS y el perfil salió idéntico byte a byte. El checklist final de la guía (19 puntos) está verificado punto por punto, con su evidencia, en 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docs/defensa.md</w:t>
      </w:r>
      <w:r>
        <w:rPr>
          <w:rFonts w:ascii="Calibri" w:cs="Calibri" w:eastAsia="Calibri" w:hAnsi="Calibri"/>
          <w:sz w:val="20"/>
          <w:szCs w:val="20"/>
        </w:rPr>
        <w:t xml:space="preserve">. Ese documento también trae las respuestas a las 8 preguntas de defensa y una demostración en vivo de 5 minutos (</w:t>
      </w:r>
      <w:r>
        <w:rPr>
          <w:rFonts w:ascii="Consolas" w:cs="Consolas" w:eastAsia="Consolas" w:hAnsi="Consolas"/>
          <w:color w:val="333333"/>
          <w:sz w:val="18"/>
          <w:szCs w:val="18"/>
        </w:rPr>
        <w:t xml:space="preserve">sql/tests/g8_demo_defensa.sql</w:t>
      </w:r>
      <w:r>
        <w:rPr>
          <w:rFonts w:ascii="Calibri" w:cs="Calibri" w:eastAsia="Calibri" w:hAnsi="Calibri"/>
          <w:sz w:val="20"/>
          <w:szCs w:val="20"/>
        </w:rPr>
        <w:t xml:space="preserve">).</w:t>
      </w:r>
    </w:p>
    <w:sectPr>
      <w:footerReference w:type="default" r:id="rId7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7F7F7F"/>
        <w:sz w:val="16"/>
        <w:szCs w:val="16"/>
      </w:rPr>
      <w:t xml:space="preserve">Banco Andino Colombia · Informe técnico final · página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F7F7F"/>
        <w:sz w:val="16"/>
        <w:szCs w:val="16"/>
      </w:rPr>
      <w:t xml:space="preserve"> de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f43b3d14409cae644c17919e10a6f19696fe24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final — Banco Andino Colombia</dc:title>
  <dc:creator>Juan Diego Ortiz, Adrian Daniel Argotte, Miguel Andrés Pava, Jerónimo Soto, David Gonzáles</dc:creator>
  <cp:lastModifiedBy>Un-named</cp:lastModifiedBy>
  <cp:revision>1</cp:revision>
  <dcterms:created xsi:type="dcterms:W3CDTF">2026-10-01T03:32:13.885Z</dcterms:created>
  <dcterms:modified xsi:type="dcterms:W3CDTF">2026-10-01T03:32:13.894Z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