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cs="Hiragino Sans GB"/>
        </w:rPr>
        <w:t>邀请返佣与等级体系需求文档</w:t>
      </w:r>
    </w:p>
    <w:p>
      <w:r>
        <w:rPr>
          <w:rFonts w:ascii="Hiragino Sans GB" w:hAnsi="Hiragino Sans GB" w:eastAsia="Hiragino Sans GB" w:cs="Hiragino Sans GB"/>
        </w:rPr>
        <w:t>版本 V0.7  |  业务规则整合稿  |  2026年9月24日</w:t>
      </w:r>
    </w:p>
    <w:p>
      <w:r>
        <w:rPr>
          <w:rFonts w:ascii="Hiragino Sans GB" w:hAnsi="Hiragino Sans GB" w:eastAsia="Hiragino Sans GB" w:cs="Hiragino Sans GB"/>
        </w:rPr>
        <w:t>接收方：产品、设计、开发及测试团队。本文规定邀请绑定、产品收益、个人VIP、团队返佣、资金账户、提现及异常处理规则，用于开发评审与验收。本版统一落实本人或任意层级下级购买后禁止补绑、USDT双账户与多网络提现、收益账户3%平台服务费、客服转交技术处理异常，以及后台配置产品和购买等级门槛。剩余待定义事项集中列于第九节。</w:t>
      </w:r>
    </w:p>
    <w:p>
      <w:r>
        <w:rPr>
          <w:rFonts w:ascii="Hiragino Sans GB" w:hAnsi="Hiragino Sans GB" w:eastAsia="Hiragino Sans GB" w:cs="Hiragino Sans GB"/>
        </w:rPr>
        <w:t>全篇金额单位统一为USDT，U为USDT的简称。个人VIP及团队等级的金额门槛、收益加成和返佣比例沿用既有数值。收益率示例仅用于验证计算，不代表具体上架产品参数；正式参数由后台配置。</w:t>
      </w:r>
    </w:p>
    <w:p>
      <w:pPr>
        <w:pStyle w:val="Heading1"/>
      </w:pPr>
      <w:r>
        <w:rPr>
          <w:rFonts w:ascii="Hiragino Sans GB" w:hAnsi="Hiragino Sans GB" w:eastAsia="Hiragino Sans GB" w:cs="Hiragino Sans GB"/>
        </w:rPr>
        <w:t>一 邀请关系与绑定规则</w:t>
      </w:r>
    </w:p>
    <w:p>
      <w:r>
        <w:rPr>
          <w:rFonts w:ascii="Hiragino Sans GB" w:hAnsi="Hiragino Sans GB" w:eastAsia="Hiragino Sans GB" w:cs="Hiragino Sans GB"/>
        </w:rPr>
        <w:t>每名用户拥有唯一的专属邀请码和邀请链接。通过邀请链接注册时识别邀请人，注册成功后绑定上级；也支持注册时手动填写邀请码。</w:t>
      </w:r>
    </w:p>
    <w:p>
      <w:r>
        <w:rPr>
          <w:rFonts w:ascii="Hiragino Sans GB" w:hAnsi="Hiragino Sans GB" w:eastAsia="Hiragino Sans GB" w:cs="Hiragino Sans GB"/>
        </w:rPr>
        <w:t>没有邀请码也可以注册和购买产品，绑定上级不是购买产品的前置条件。仅未绑定上级，且本人及所有层级下级均无成功购买记录的用户，才可以自愿补填有效邀请码绑定上级。本人或任意层级下级一旦有过成功购买记录，该用户永久失去补绑资格；产品到期、持仓清零均不恢复资格。已绑定的上级关系继续永久固定。</w:t>
      </w:r>
    </w:p>
    <w:p>
      <w:r>
        <w:rPr>
          <w:rFonts w:ascii="Hiragino Sans GB" w:hAnsi="Hiragino Sans GB" w:eastAsia="Hiragino Sans GB" w:cs="Hiragino Sans GB"/>
        </w:rPr>
        <w:t>上下级关系一旦绑定永久固定，不能更换上级。服务端必须校验绑定约束，禁止自邀、重复绑定和循环邀请关系。</w:t>
      </w:r>
    </w:p>
    <w:p>
      <w:r>
        <w:rPr>
          <w:rFonts w:ascii="Hiragino Sans GB" w:hAnsi="Hiragino Sans GB" w:eastAsia="Hiragino Sans GB" w:cs="Hiragino Sans GB"/>
        </w:rPr>
        <w:t>以A邀请B、B邀请C、C邀请D为例：相对于A，B为第一代，C为第二代，D为第三代。团队人数、金额及返佣范围仅包含前三代，不包含A本人及第四代以后；禁止补绑的购买记录检查覆盖所有层级，不受三代范围限制。</w:t>
      </w:r>
    </w:p>
    <w:p>
      <w:r>
        <w:rPr>
          <w:rFonts w:ascii="Hiragino Sans GB" w:hAnsi="Hiragino Sans GB" w:eastAsia="Hiragino Sans GB" w:cs="Hiragino Sans GB"/>
        </w:rPr>
        <w:t>例如B本人尚未购买，但其第一代下级C已成功购买，B不能再补绑A；若成功购买的是B第四代或更深层下级，结果相同。只有B本人及其所有层级下级均未成功购买时，B才可补绑A。因此，不再允许通过后补关系将已有订单或其后续收益挂入新的上级链；此前针对已有订单的后补返佣描述不再适用。</w:t>
      </w:r>
    </w:p>
    <w:p>
      <w:pPr>
        <w:pStyle w:val="Heading1"/>
      </w:pPr>
      <w:r>
        <w:rPr>
          <w:rFonts w:ascii="Hiragino Sans GB" w:hAnsi="Hiragino Sans GB" w:eastAsia="Hiragino Sans GB" w:cs="Hiragino Sans GB"/>
        </w:rPr>
        <w:t>二 产品配置与收益结算</w:t>
      </w:r>
    </w:p>
    <w:p>
      <w:r>
        <w:rPr>
          <w:rFonts w:ascii="Hiragino Sans GB" w:hAnsi="Hiragino Sans GB" w:eastAsia="Hiragino Sans GB" w:cs="Hiragino Sans GB"/>
        </w:rPr>
        <w:t>后台先配置产品的基础每日收益率、产品周期、收益返还方式、最低及最高购买金额、个人VIP等级门槛和团队等级门槛，校验通过后再上架到APP前端。基础每日收益＝购买金额×基础每日收益率；个人VIP加成见第三节。</w:t>
      </w:r>
    </w:p>
    <w:tbl>
      <w:tblPr>
        <w:tblW w:type="auto" w:w="0"/>
        <w:jc w:val="center"/>
        <w:tblLayout w:type="fixed"/>
        <w:tblLook w:firstColumn="1" w:firstRow="1" w:lastColumn="0" w:lastRow="0" w:noHBand="0" w:noVBand="1" w:val="04A0"/>
      </w:tblPr>
      <w:tblGrid>
        <w:gridCol w:w="2160"/>
        <w:gridCol w:w="7632"/>
      </w:tblGrid>
      <w:tr>
        <w:trPr>
          <w:cantSplit/>
          <w:tblHeader/>
        </w:trPr>
        <w:tc>
          <w:tcPr>
            <w:tcW w:type="dxa" w:w="2160"/>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返还方式</w:t>
            </w:r>
          </w:p>
        </w:tc>
        <w:tc>
          <w:tcPr>
            <w:tcW w:type="dxa" w:w="7632"/>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结算规则</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每日返还</w:t>
            </w:r>
          </w:p>
        </w:tc>
        <w:tc>
          <w:tcPr>
            <w:tcW w:type="dxa" w:w="76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每满24小时结算对应收益</w:t>
            </w:r>
          </w:p>
        </w:tc>
      </w:tr>
      <w:tr>
        <w:trPr>
          <w:cantSplit/>
        </w:trPr>
        <w:tc>
          <w:tcPr>
            <w:tcW w:type="dxa" w:w="21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每7天返还一次</w:t>
            </w:r>
          </w:p>
        </w:tc>
        <w:tc>
          <w:tcPr>
            <w:tcW w:type="dxa" w:w="76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每隔7天结算该期累计收益，不按自然周</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每30天返还一次</w:t>
            </w:r>
          </w:p>
        </w:tc>
        <w:tc>
          <w:tcPr>
            <w:tcW w:type="dxa" w:w="76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每隔30天结算该期累计收益，不按自然月</w:t>
            </w:r>
          </w:p>
        </w:tc>
      </w:tr>
      <w:tr>
        <w:trPr>
          <w:cantSplit/>
        </w:trPr>
        <w:tc>
          <w:tcPr>
            <w:tcW w:type="dxa" w:w="21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到期返还</w:t>
            </w:r>
          </w:p>
        </w:tc>
        <w:tc>
          <w:tcPr>
            <w:tcW w:type="dxa" w:w="76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产品周期结束后一次性结算整个周期收益</w:t>
            </w:r>
          </w:p>
        </w:tc>
      </w:tr>
    </w:tbl>
    <w:p>
      <w:pPr>
        <w:spacing w:after="0"/>
      </w:pPr>
    </w:p>
    <w:p>
      <w:r>
        <w:rPr>
          <w:rFonts w:ascii="Hiragino Sans GB" w:hAnsi="Hiragino Sans GB" w:eastAsia="Hiragino Sans GB" w:cs="Hiragino Sans GB"/>
        </w:rPr>
        <w:t>计时以订单生效时间为准，精确到分钟，秒数不计。每满24小时为一日，例如9月24日15:15生效，9月25日15:15满第一日。产品周期与返还间隔须匹配，不出现不足结算周期。</w:t>
      </w:r>
    </w:p>
    <w:p>
      <w:r>
        <w:rPr>
          <w:rFonts w:ascii="Hiragino Sans GB" w:hAnsi="Hiragino Sans GB" w:eastAsia="Hiragino Sans GB" w:cs="Hiragino Sans GB"/>
        </w:rPr>
        <w:t>本金在产品到期结束后返还至本金账户，不允许提前退出。到期时先结算最后一期收益及对应佣金，再返还本金、移除对应持仓并重算个人VIP及受影响的团队等级。持仓统计以仍有效的产品购买金额为依据，钱包余额及收益不自动作为新增持仓。同分钟多笔事件的处理顺序见第九节。</w:t>
      </w:r>
    </w:p>
    <w:p>
      <w:pPr>
        <w:pStyle w:val="Heading2"/>
      </w:pPr>
      <w:r>
        <w:rPr>
          <w:rFonts w:ascii="Hiragino Sans GB" w:hAnsi="Hiragino Sans GB" w:eastAsia="Hiragino Sans GB" w:cs="Hiragino Sans GB"/>
        </w:rPr>
        <w:t>产品购买资格</w:t>
      </w:r>
    </w:p>
    <w:p>
      <w:pPr/>
      <w:r>
        <w:rPr>
          <w:rFonts w:ascii="Hiragino Sans GB" w:hAnsi="Hiragino Sans GB" w:eastAsia="Hiragino Sans GB" w:cs="Hiragino Sans GB"/>
        </w:rPr>
        <w:t>个人VIP与团队等级门槛均按达到或高于配置等级判断。后台可分别设置两项门槛，也可只设置其中一项或不限等级；同时设置时必须两项同时满足。例如个人VIP 3及团队等级5的产品，仅个人VIP≥3且团队等级≥5的用户可购买。团队等级统一使用“团队等级”名称，不与个人VIP混称。</w:t>
      </w:r>
    </w:p>
    <w:p>
      <w:pPr/>
      <w:r>
        <w:rPr>
          <w:rFonts w:ascii="Hiragino Sans GB" w:hAnsi="Hiragino Sans GB" w:eastAsia="Hiragino Sans GB" w:cs="Hiragino Sans GB"/>
        </w:rPr>
        <w:t>购买资格使用本笔购买生效前的个人VIP和团队等级。本笔购买可能触发的升级不能用于满足该笔订单自身门槛。APP展示购买金额范围及等级要求；购买时服务端重新校验，不能仅依赖前端按钮状态。</w:t>
      </w:r>
    </w:p>
    <w:p>
      <w:pPr/>
      <w:r>
        <w:rPr>
          <w:rFonts w:ascii="Hiragino Sans GB" w:hAnsi="Hiragino Sans GB" w:eastAsia="Hiragino Sans GB" w:cs="Hiragino Sans GB"/>
        </w:rPr>
        <w:t>上架前校验产品周期与收益返还间隔匹配、购买金额范围有效，最低金额不得高于最高金额。具体产品参数由后台运营配置，不在本文固定；上架后修改配置对存量订单及新订单的生效边界见第九节。</w:t>
      </w:r>
    </w:p>
    <w:p>
      <w:pPr>
        <w:pStyle w:val="Heading1"/>
      </w:pPr>
      <w:r>
        <w:rPr>
          <w:rFonts w:ascii="Hiragino Sans GB" w:hAnsi="Hiragino Sans GB" w:eastAsia="Hiragino Sans GB" w:cs="Hiragino Sans GB"/>
        </w:rPr>
        <w:t>三 个人VIP等级及收益权益</w:t>
      </w:r>
    </w:p>
    <w:p>
      <w:r>
        <w:rPr>
          <w:rFonts w:ascii="Hiragino Sans GB" w:hAnsi="Hiragino Sans GB" w:eastAsia="Hiragino Sans GB" w:cs="Hiragino Sans GB"/>
        </w:rPr>
        <w:t>按本人当前全部有效产品持仓金额合计确定最高符合等级。产品到期按第二节顺序完成结算、返本及移除持仓后，金额不足时立即降级；等级变化不改变已生效订单锁定的收益加成。下表门槛与加成均已确认。</w:t>
      </w:r>
    </w:p>
    <w:tbl>
      <w:tblPr>
        <w:tblW w:type="auto" w:w="0"/>
        <w:jc w:val="center"/>
        <w:tblLayout w:type="fixed"/>
        <w:tblLook w:firstColumn="1" w:firstRow="1" w:lastColumn="0" w:lastRow="0" w:noHBand="0" w:noVBand="1" w:val="04A0"/>
      </w:tblPr>
      <w:tblGrid>
        <w:gridCol w:w="2016"/>
        <w:gridCol w:w="5040"/>
        <w:gridCol w:w="2736"/>
      </w:tblGrid>
      <w:tr>
        <w:trPr>
          <w:cantSplit/>
          <w:tblHeader/>
        </w:trPr>
        <w:tc>
          <w:tcPr>
            <w:tcW w:type="dxa" w:w="2016"/>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个人等级</w:t>
            </w:r>
          </w:p>
        </w:tc>
        <w:tc>
          <w:tcPr>
            <w:tcW w:type="dxa" w:w="5040"/>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有效持仓门槛 USDT</w:t>
            </w:r>
          </w:p>
        </w:tc>
        <w:tc>
          <w:tcPr>
            <w:tcW w:type="dxa" w:w="2736"/>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基础收益加成</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0</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不足1,000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0%</w:t>
            </w:r>
          </w:p>
        </w:tc>
      </w:tr>
      <w:tr>
        <w:trPr>
          <w:cantSplit/>
        </w:trPr>
        <w:tc>
          <w:tcPr>
            <w:tcW w:type="dxa" w:w="201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1</w:t>
            </w:r>
          </w:p>
        </w:tc>
        <w:tc>
          <w:tcPr>
            <w:tcW w:type="dxa" w:w="50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1,000</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2</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3,000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w:t>
            </w:r>
          </w:p>
        </w:tc>
      </w:tr>
      <w:tr>
        <w:trPr>
          <w:cantSplit/>
        </w:trPr>
        <w:tc>
          <w:tcPr>
            <w:tcW w:type="dxa" w:w="201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3</w:t>
            </w:r>
          </w:p>
        </w:tc>
        <w:tc>
          <w:tcPr>
            <w:tcW w:type="dxa" w:w="50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5,000</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7%</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4</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10,000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8%</w:t>
            </w:r>
          </w:p>
        </w:tc>
      </w:tr>
      <w:tr>
        <w:trPr>
          <w:cantSplit/>
        </w:trPr>
        <w:tc>
          <w:tcPr>
            <w:tcW w:type="dxa" w:w="201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5</w:t>
            </w:r>
          </w:p>
        </w:tc>
        <w:tc>
          <w:tcPr>
            <w:tcW w:type="dxa" w:w="50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20,000</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9%</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6</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40,000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12%</w:t>
            </w:r>
          </w:p>
        </w:tc>
      </w:tr>
      <w:tr>
        <w:trPr>
          <w:cantSplit/>
        </w:trPr>
        <w:tc>
          <w:tcPr>
            <w:tcW w:type="dxa" w:w="201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7</w:t>
            </w:r>
          </w:p>
        </w:tc>
        <w:tc>
          <w:tcPr>
            <w:tcW w:type="dxa" w:w="50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70,000</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15%</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8</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100,000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18%</w:t>
            </w:r>
          </w:p>
        </w:tc>
      </w:tr>
      <w:tr>
        <w:trPr>
          <w:cantSplit/>
        </w:trPr>
        <w:tc>
          <w:tcPr>
            <w:tcW w:type="dxa" w:w="201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9</w:t>
            </w:r>
          </w:p>
        </w:tc>
        <w:tc>
          <w:tcPr>
            <w:tcW w:type="dxa" w:w="50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150,000</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21%</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VIP 10</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200,000及以上</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24%</w:t>
            </w:r>
          </w:p>
        </w:tc>
      </w:tr>
    </w:tbl>
    <w:p>
      <w:pPr>
        <w:spacing w:after="0"/>
      </w:pPr>
    </w:p>
    <w:p>
      <w:pPr>
        <w:pStyle w:val="Heading2"/>
      </w:pPr>
      <w:r>
        <w:rPr>
          <w:rFonts w:ascii="Hiragino Sans GB" w:hAnsi="Hiragino Sans GB" w:eastAsia="Hiragino Sans GB" w:cs="Hiragino Sans GB"/>
        </w:rPr>
        <w:t>计算口径</w:t>
      </w:r>
    </w:p>
    <w:p>
      <w:r>
        <w:rPr>
          <w:rFonts w:ascii="Hiragino Sans GB" w:hAnsi="Hiragino Sans GB" w:eastAsia="Hiragino Sans GB" w:cs="Hiragino Sans GB"/>
        </w:rPr>
        <w:t>实际每日收益率＝产品基础每日收益率×（1＋个人VIP加成比例）。对应等级的加成是最终加成，各级不累加；加成不直接作为百分点加到基础日收益率上。</w:t>
      </w:r>
    </w:p>
    <w:p>
      <w:r>
        <w:rPr>
          <w:rFonts w:ascii="Hiragino Sans GB" w:hAnsi="Hiragino Sans GB" w:eastAsia="Hiragino Sans GB" w:cs="Hiragino Sans GB"/>
        </w:rPr>
        <w:t>例如订单生效前为VIP 3：10,000 USDT本金、基础每日收益率2%，本笔订单锁定7%加成，实际每日收益率＝2%×1.07＝2.14%，每日收益214 USDT。该订单新增持仓引起的升级仅影响后续新订单。</w:t>
      </w:r>
    </w:p>
    <w:p>
      <w:r>
        <w:rPr>
          <w:rFonts w:ascii="Hiragino Sans GB" w:hAnsi="Hiragino Sans GB" w:eastAsia="Hiragino Sans GB" w:cs="Hiragino Sans GB"/>
        </w:rPr>
        <w:t>个人VIP影响本人产品收益，团队等级影响从下级获得的佣金，两者分别计算。</w:t>
      </w:r>
    </w:p>
    <w:p>
      <w:pPr>
        <w:pStyle w:val="Heading2"/>
      </w:pPr>
      <w:r>
        <w:rPr>
          <w:rFonts w:ascii="Hiragino Sans GB" w:hAnsi="Hiragino Sans GB" w:eastAsia="Hiragino Sans GB" w:cs="Hiragino Sans GB"/>
        </w:rPr>
        <w:t>本笔订单适用等级与加成锁定</w:t>
      </w:r>
    </w:p>
    <w:p>
      <w:r>
        <w:rPr>
          <w:rFonts w:ascii="Hiragino Sans GB" w:hAnsi="Hiragino Sans GB" w:eastAsia="Hiragino Sans GB" w:cs="Hiragino Sans GB"/>
        </w:rPr>
        <w:t>本笔订单采用生效前的个人VIP等级，并将对应收益加成锁定至到期。本笔购买引起的升级仅用于后续新订单；持有期间个人VIP升降级均不改变旧订单收益率。订单须保存适用等级与锁定加成，不能使用结算时的个人VIP替换。</w:t>
      </w:r>
    </w:p>
    <w:p>
      <w:pPr>
        <w:pStyle w:val="Heading1"/>
      </w:pPr>
      <w:r>
        <w:rPr>
          <w:rFonts w:ascii="Hiragino Sans GB" w:hAnsi="Hiragino Sans GB" w:eastAsia="Hiragino Sans GB" w:cs="Hiragino Sans GB"/>
        </w:rPr>
        <w:t>四 团队统计与返佣等级</w:t>
      </w:r>
    </w:p>
    <w:p>
      <w:r>
        <w:rPr>
          <w:rFonts w:ascii="Hiragino Sans GB" w:hAnsi="Hiragino Sans GB" w:eastAsia="Hiragino Sans GB" w:cs="Hiragino Sans GB"/>
        </w:rPr>
        <w:t>人数和金额仅统计下级第一、第二、第三代，不包含用户本人及第四代以后。人数和金额必须同时达标，取同时满足的最高等级；不满足当前等级时立即降级。</w:t>
      </w:r>
    </w:p>
    <w:p>
      <w:r>
        <w:rPr>
          <w:rFonts w:ascii="Hiragino Sans GB" w:hAnsi="Hiragino Sans GB" w:eastAsia="Hiragino Sans GB" w:cs="Hiragino Sans GB"/>
        </w:rPr>
        <w:t>同一成员当前全部有效产品合计达到300 USDT，计为1名有效成员；无论多少笔产品最多计1人。不足300 USDT不计人数，但其有效持仓金额仍计入团队总金额。</w:t>
      </w:r>
    </w:p>
    <w:p>
      <w:r>
        <w:rPr>
          <w:rFonts w:ascii="Hiragino Sans GB" w:hAnsi="Hiragino Sans GB" w:eastAsia="Hiragino Sans GB" w:cs="Hiragino Sans GB"/>
        </w:rPr>
        <w:t>例如同一成员持有两笔各150 USDT的有效产品：计1人、300 USDT；一笔到期后，计0人、150 USDT，并重算团队等级。</w:t>
      </w:r>
    </w:p>
    <w:tbl>
      <w:tblPr>
        <w:tblW w:type="auto" w:w="0"/>
        <w:jc w:val="center"/>
        <w:tblLayout w:type="fixed"/>
        <w:tblLook w:firstColumn="1" w:firstRow="1" w:lastColumn="0" w:lastRow="0" w:noHBand="0" w:noVBand="1" w:val="04A0"/>
      </w:tblPr>
      <w:tblGrid>
        <w:gridCol w:w="936"/>
        <w:gridCol w:w="1800"/>
        <w:gridCol w:w="2736"/>
        <w:gridCol w:w="1440"/>
        <w:gridCol w:w="1440"/>
        <w:gridCol w:w="1440"/>
      </w:tblGrid>
      <w:tr>
        <w:trPr>
          <w:cantSplit/>
          <w:tblHeader/>
        </w:trPr>
        <w:tc>
          <w:tcPr>
            <w:tcW w:type="dxa" w:w="936"/>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团队等级</w:t>
            </w:r>
          </w:p>
        </w:tc>
        <w:tc>
          <w:tcPr>
            <w:tcW w:type="dxa" w:w="1800"/>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三代内有效人数至少</w:t>
            </w:r>
          </w:p>
        </w:tc>
        <w:tc>
          <w:tcPr>
            <w:tcW w:type="dxa" w:w="2736"/>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三代内有效持仓至少 USDT</w:t>
            </w:r>
          </w:p>
        </w:tc>
        <w:tc>
          <w:tcPr>
            <w:tcW w:type="dxa" w:w="1440"/>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第一代</w:t>
            </w:r>
          </w:p>
        </w:tc>
        <w:tc>
          <w:tcPr>
            <w:tcW w:type="dxa" w:w="1440"/>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第二代</w:t>
            </w:r>
          </w:p>
        </w:tc>
        <w:tc>
          <w:tcPr>
            <w:tcW w:type="dxa" w:w="1440"/>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第三代</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0</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未达1级</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0%</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0%</w:t>
            </w:r>
          </w:p>
        </w:tc>
      </w:tr>
      <w:tr>
        <w:trPr>
          <w:cantSplit/>
        </w:trPr>
        <w:tc>
          <w:tcPr>
            <w:tcW w:type="dxa" w:w="9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w:t>
            </w:r>
          </w:p>
        </w:tc>
        <w:tc>
          <w:tcPr>
            <w:tcW w:type="dxa" w:w="180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6,000</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0%</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12,000</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w:t>
            </w:r>
          </w:p>
        </w:tc>
      </w:tr>
      <w:tr>
        <w:trPr>
          <w:cantSplit/>
        </w:trPr>
        <w:tc>
          <w:tcPr>
            <w:tcW w:type="dxa" w:w="9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w:t>
            </w:r>
          </w:p>
        </w:tc>
        <w:tc>
          <w:tcPr>
            <w:tcW w:type="dxa" w:w="180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20</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24,000</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5.2%</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3.1%</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2.1%</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48,000</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5.6%</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3.3%</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2.3%</w:t>
            </w:r>
          </w:p>
        </w:tc>
      </w:tr>
      <w:tr>
        <w:trPr>
          <w:cantSplit/>
        </w:trPr>
        <w:tc>
          <w:tcPr>
            <w:tcW w:type="dxa" w:w="9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w:t>
            </w:r>
          </w:p>
        </w:tc>
        <w:tc>
          <w:tcPr>
            <w:tcW w:type="dxa" w:w="180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70</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84,000</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6.2%</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3.6%</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2.6%</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120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144,000</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7%</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w:t>
            </w:r>
          </w:p>
        </w:tc>
      </w:tr>
      <w:tr>
        <w:trPr>
          <w:cantSplit/>
        </w:trPr>
        <w:tc>
          <w:tcPr>
            <w:tcW w:type="dxa" w:w="9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7</w:t>
            </w:r>
          </w:p>
        </w:tc>
        <w:tc>
          <w:tcPr>
            <w:tcW w:type="dxa" w:w="180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200</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240,000</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8%</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4.5%</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3.5%</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8</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350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420,000</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9.2%</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5.1%</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4.1%</w:t>
            </w:r>
          </w:p>
        </w:tc>
      </w:tr>
      <w:tr>
        <w:trPr>
          <w:cantSplit/>
        </w:trPr>
        <w:tc>
          <w:tcPr>
            <w:tcW w:type="dxa" w:w="9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9</w:t>
            </w:r>
          </w:p>
        </w:tc>
        <w:tc>
          <w:tcPr>
            <w:tcW w:type="dxa" w:w="180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600</w:t>
            </w:r>
          </w:p>
        </w:tc>
        <w:tc>
          <w:tcPr>
            <w:tcW w:type="dxa" w:w="2736"/>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720,000</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10.6%</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5.8%</w:t>
            </w:r>
          </w:p>
        </w:tc>
        <w:tc>
          <w:tcPr>
            <w:tcW w:type="dxa" w:w="144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4.8%</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10</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1000</w:t>
            </w:r>
          </w:p>
        </w:tc>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1,200,000</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12.2%</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6.6%</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5.6%</w:t>
            </w:r>
          </w:p>
        </w:tc>
      </w:tr>
    </w:tbl>
    <w:p>
      <w:pPr>
        <w:spacing w:after="0"/>
      </w:pPr>
    </w:p>
    <w:p>
      <w:pPr>
        <w:pStyle w:val="Heading2"/>
      </w:pPr>
      <w:r>
        <w:rPr>
          <w:rFonts w:ascii="Hiragino Sans GB" w:hAnsi="Hiragino Sans GB" w:eastAsia="Hiragino Sans GB" w:cs="Hiragino Sans GB"/>
        </w:rPr>
        <w:t>佣金规则</w:t>
      </w:r>
    </w:p>
    <w:p>
      <w:r>
        <w:rPr>
          <w:rFonts w:ascii="Hiragino Sans GB" w:hAnsi="Hiragino Sans GB" w:eastAsia="Hiragino Sans GB" w:cs="Hiragino Sans GB"/>
        </w:rPr>
        <w:t>每次佣金＝对应下级本次结算的产品收益×接收人适用比例。返佣基数包含该订单锁定的个人VIP加成，并采用按第五节规则截取后的本期收益入账金额。</w:t>
      </w:r>
    </w:p>
    <w:p>
      <w:r>
        <w:rPr>
          <w:rFonts w:ascii="Hiragino Sans GB" w:hAnsi="Hiragino Sans GB" w:eastAsia="Hiragino Sans GB" w:cs="Hiragino Sans GB"/>
        </w:rPr>
        <w:t>每位接收人按本次收益应结算时点的团队等级，以及其与购买用户的代数关系选取比例。表中为最终比例，不与基础比例再次叠加。延迟执行时的历史等级还原及异常处理细则见第九节。</w:t>
      </w:r>
    </w:p>
    <w:p>
      <w:r>
        <w:rPr>
          <w:rFonts w:ascii="Hiragino Sans GB" w:hAnsi="Hiragino Sans GB" w:eastAsia="Hiragino Sans GB" w:cs="Hiragino Sans GB"/>
        </w:rPr>
        <w:t>佣金随产品收益同步结算，由平台额外支付，不扣减购买用户收益。没有对应上级不发放；第四代及以后不参与。</w:t>
      </w:r>
    </w:p>
    <w:p>
      <w:r>
        <w:rPr>
          <w:rFonts w:ascii="Hiragino Sans GB" w:hAnsi="Hiragino Sans GB" w:eastAsia="Hiragino Sans GB" w:cs="Hiragino Sans GB"/>
        </w:rPr>
        <w:t>团队0级只有第一代5%；团队1级有第一代5%、第二代3%；团队2级起具备三代返佣。已有上级但其团队等级不具备对应代数资格时，该份额不发放，也不越级转移。</w:t>
      </w:r>
    </w:p>
    <w:p>
      <w:pPr>
        <w:pStyle w:val="Heading1"/>
      </w:pPr>
      <w:r>
        <w:rPr>
          <w:rFonts w:ascii="Hiragino Sans GB" w:hAnsi="Hiragino Sans GB" w:eastAsia="Hiragino Sans GB" w:cs="Hiragino Sans GB"/>
        </w:rPr>
        <w:t>五 金额精度与支出试算</w:t>
      </w:r>
    </w:p>
    <w:p>
      <w:r>
        <w:rPr>
          <w:rFonts w:ascii="Hiragino Sans GB" w:hAnsi="Hiragino Sans GB" w:eastAsia="Hiragino Sans GB" w:cs="Hiragino Sans GB"/>
        </w:rPr>
        <w:t>已确认：收益和佣金保留2位小数，直接截去后续小数，不四舍五入，尾差不计。例如1.239 USDT入账1.23 USDT。</w:t>
      </w:r>
    </w:p>
    <w:p>
      <w:r>
        <w:rPr>
          <w:rFonts w:ascii="Hiragino Sans GB" w:hAnsi="Hiragino Sans GB" w:eastAsia="Hiragino Sans GB" w:cs="Hiragino Sans GB"/>
        </w:rPr>
        <w:t>按每笔订单、每个结算期先计算收益并截取至2位小数，再以已截取收益分别计算每位上级佣金，各自截取至2位小数。禁止跨用户合并后才截取。不同结算频率因截断次数不同可能产生小额差异。</w:t>
      </w:r>
    </w:p>
    <w:p>
      <w:pPr>
        <w:pStyle w:val="Heading2"/>
      </w:pPr>
      <w:r>
        <w:rPr>
          <w:rFonts w:ascii="Hiragino Sans GB" w:hAnsi="Hiragino Sans GB" w:eastAsia="Hiragino Sans GB" w:cs="Hiragino Sans GB"/>
        </w:rPr>
        <w:t>三十天到期一次结算示例</w:t>
      </w:r>
    </w:p>
    <w:p>
      <w:r>
        <w:rPr>
          <w:rFonts w:ascii="Hiragino Sans GB" w:hAnsi="Hiragino Sans GB" w:eastAsia="Hiragino Sans GB" w:cs="Hiragino Sans GB"/>
        </w:rPr>
        <w:t>本金10,000 USDT，基础每日收益率2%，订单生效前为个人VIP 3并锁定7%加成；产品30天到期一次结算。一级、二级、三级上级在本次收益应结算时点分别为团队2、3、4级。</w:t>
      </w:r>
    </w:p>
    <w:tbl>
      <w:tblPr>
        <w:tblW w:type="auto" w:w="0"/>
        <w:jc w:val="center"/>
        <w:tblLayout w:type="fixed"/>
        <w:tblLook w:firstColumn="1" w:firstRow="1" w:lastColumn="0" w:lastRow="0" w:noHBand="0" w:noVBand="1" w:val="04A0"/>
      </w:tblPr>
      <w:tblGrid>
        <w:gridCol w:w="2592"/>
        <w:gridCol w:w="4752"/>
        <w:gridCol w:w="2448"/>
      </w:tblGrid>
      <w:tr>
        <w:trPr>
          <w:cantSplit/>
          <w:tblHeader/>
        </w:trPr>
        <w:tc>
          <w:tcPr>
            <w:tcW w:type="dxa" w:w="2592"/>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项目</w:t>
            </w:r>
          </w:p>
        </w:tc>
        <w:tc>
          <w:tcPr>
            <w:tcW w:type="dxa" w:w="4752"/>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计算</w:t>
            </w:r>
          </w:p>
        </w:tc>
        <w:tc>
          <w:tcPr>
            <w:tcW w:type="dxa" w:w="2448"/>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金额 USDT</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基础收益</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10,000×2%×30</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6,000.00</w:t>
            </w:r>
          </w:p>
        </w:tc>
      </w:tr>
      <w:tr>
        <w:trPr>
          <w:cantSplit/>
        </w:trPr>
        <w:tc>
          <w:tcPr>
            <w:tcW w:type="dxa" w:w="259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个人VIP额外收益</w:t>
            </w:r>
          </w:p>
        </w:tc>
        <w:tc>
          <w:tcPr>
            <w:tcW w:type="dxa" w:w="475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6,000×7%</w:t>
            </w:r>
          </w:p>
        </w:tc>
        <w:tc>
          <w:tcPr>
            <w:tcW w:type="dxa" w:w="2448"/>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420.00</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用户收益合计</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6,000＋420</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6,420.00</w:t>
            </w:r>
          </w:p>
        </w:tc>
      </w:tr>
      <w:tr>
        <w:trPr>
          <w:cantSplit/>
        </w:trPr>
        <w:tc>
          <w:tcPr>
            <w:tcW w:type="dxa" w:w="259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一级上级佣金</w:t>
            </w:r>
          </w:p>
        </w:tc>
        <w:tc>
          <w:tcPr>
            <w:tcW w:type="dxa" w:w="475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6,420×5%</w:t>
            </w:r>
          </w:p>
        </w:tc>
        <w:tc>
          <w:tcPr>
            <w:tcW w:type="dxa" w:w="2448"/>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321.00</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二级上级佣金</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6,420×3.1%</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199.02</w:t>
            </w:r>
          </w:p>
        </w:tc>
      </w:tr>
      <w:tr>
        <w:trPr>
          <w:cantSplit/>
        </w:trPr>
        <w:tc>
          <w:tcPr>
            <w:tcW w:type="dxa" w:w="259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三级上级佣金</w:t>
            </w:r>
          </w:p>
        </w:tc>
        <w:tc>
          <w:tcPr>
            <w:tcW w:type="dxa" w:w="475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6,420×2.3%</w:t>
            </w:r>
          </w:p>
        </w:tc>
        <w:tc>
          <w:tcPr>
            <w:tcW w:type="dxa" w:w="2448"/>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147.66</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佣金合计</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321＋199.02＋147.66</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667.68</w:t>
            </w:r>
          </w:p>
        </w:tc>
      </w:tr>
      <w:tr>
        <w:trPr>
          <w:cantSplit/>
        </w:trPr>
        <w:tc>
          <w:tcPr>
            <w:tcW w:type="dxa" w:w="259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收益及佣金支出</w:t>
            </w:r>
          </w:p>
        </w:tc>
        <w:tc>
          <w:tcPr>
            <w:tcW w:type="dxa" w:w="475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6,420＋667.68</w:t>
            </w:r>
          </w:p>
        </w:tc>
        <w:tc>
          <w:tcPr>
            <w:tcW w:type="dxa" w:w="2448"/>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7,087.68</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返还本金</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到期返还</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10,000.00</w:t>
            </w:r>
          </w:p>
        </w:tc>
      </w:tr>
      <w:tr>
        <w:trPr>
          <w:cantSplit/>
        </w:trPr>
        <w:tc>
          <w:tcPr>
            <w:tcW w:type="dxa" w:w="259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平台总支付</w:t>
            </w:r>
          </w:p>
        </w:tc>
        <w:tc>
          <w:tcPr>
            <w:tcW w:type="dxa" w:w="475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本金＋收益＋佣金</w:t>
            </w:r>
          </w:p>
        </w:tc>
        <w:tc>
          <w:tcPr>
            <w:tcW w:type="dxa" w:w="2448"/>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17,087.68</w:t>
            </w:r>
          </w:p>
        </w:tc>
      </w:tr>
    </w:tbl>
    <w:p>
      <w:pPr>
        <w:spacing w:after="0"/>
      </w:pPr>
    </w:p>
    <w:p>
      <w:r>
        <w:rPr>
          <w:rFonts w:ascii="Hiragino Sans GB" w:hAnsi="Hiragino Sans GB" w:eastAsia="Hiragino Sans GB" w:cs="Hiragino Sans GB"/>
        </w:rPr>
        <w:t>用户本人到期入账本金10,000 USDT及收益6,420 USDT，分别进入本金账户和收益账户；三位上级另入账佣金合计667.68 USDT至各自收益账户。本节试算为结算入账口径，未扣提现服务费及网络费；实际提现到账按第六节计算。总支付金额不含运营费用，不代表平台净亏损，还需结合实际业务收入核算。</w:t>
      </w:r>
    </w:p>
    <w:p>
      <w:pPr>
        <w:pStyle w:val="Heading2"/>
      </w:pPr>
      <w:r>
        <w:rPr>
          <w:rFonts w:ascii="Hiragino Sans GB" w:hAnsi="Hiragino Sans GB" w:eastAsia="Hiragino Sans GB" w:cs="Hiragino Sans GB"/>
        </w:rPr>
        <w:t>比例口径</w:t>
      </w:r>
    </w:p>
    <w:p>
      <w:r>
        <w:rPr>
          <w:rFonts w:ascii="Hiragino Sans GB" w:hAnsi="Hiragino Sans GB" w:eastAsia="Hiragino Sans GB" w:cs="Hiragino Sans GB"/>
        </w:rPr>
        <w:t>基础收益占本金60%；VIP额外收益占本金4.2%；佣金占本金6.6768%。额外两项合计占本金10.8768%，因此收益加佣金从本金的60%提高到70.8768%，增加10.8768个百分点。</w:t>
      </w:r>
    </w:p>
    <w:p>
      <w:r>
        <w:rPr>
          <w:rFonts w:ascii="Hiragino Sans GB" w:hAnsi="Hiragino Sans GB" w:eastAsia="Hiragino Sans GB" w:cs="Hiragino Sans GB"/>
        </w:rPr>
        <w:t>相对于原6,000 USDT基础收益支出，新增1,087.68 USDT的增幅为18.128%。两种比例分母不同，页面和报表必须注明口径。削减支出的讨论未形成变更，本版维持原方案。</w:t>
      </w:r>
    </w:p>
    <w:p>
      <w:pPr>
        <w:pStyle w:val="Heading1"/>
      </w:pPr>
      <w:r>
        <w:rPr>
          <w:rFonts w:ascii="Hiragino Sans GB" w:hAnsi="Hiragino Sans GB" w:eastAsia="Hiragino Sans GB" w:cs="Hiragino Sans GB"/>
        </w:rPr>
        <w:t>六 资金账户与充值提现</w:t>
      </w:r>
    </w:p>
    <w:p>
      <w:pPr>
        <w:pStyle w:val="Heading2"/>
      </w:pPr>
      <w:r>
        <w:rPr>
          <w:rFonts w:ascii="Hiragino Sans GB" w:hAnsi="Hiragino Sans GB" w:eastAsia="Hiragino Sans GB" w:cs="Hiragino Sans GB"/>
        </w:rPr>
        <w:t>账户与入账归属</w:t>
      </w:r>
    </w:p>
    <w:p>
      <w:pPr/>
      <w:r>
        <w:rPr>
          <w:rFonts w:ascii="Hiragino Sans GB" w:hAnsi="Hiragino Sans GB" w:eastAsia="Hiragino Sans GB" w:cs="Hiragino Sans GB"/>
        </w:rPr>
        <w:t>充值和提现均使用USDT，支持多种网络，具体网络清单另行确定。设置本金账户和收益账户，两者分别显示可用余额及提现处理中金额；持仓本金单独展示，不属于可提现余额。</w:t>
      </w:r>
    </w:p>
    <w:p>
      <w:pPr/>
      <w:r>
        <w:rPr>
          <w:rFonts w:ascii="Hiragino Sans GB" w:hAnsi="Hiragino Sans GB" w:eastAsia="Hiragino Sans GB" w:cs="Hiragino Sans GB"/>
        </w:rPr>
        <w:t>本金账户存放已确认到账的充值余额及产品到期返还的本金。收益账户统一存放已结算的产品收益和邀请佣金，明细保留来源分类及关联订单。未结算收益不计入可用余额。收益与佣金合计计算提现资格，例如收益30 USDT加佣金20 USDT，可申请提现50 USDT。</w:t>
      </w:r>
    </w:p>
    <w:p>
      <w:pPr/>
      <w:r>
        <w:rPr>
          <w:rFonts w:ascii="Hiragino Sans GB" w:hAnsi="Hiragino Sans GB" w:eastAsia="Hiragino Sans GB" w:cs="Hiragino Sans GB"/>
        </w:rPr>
        <w:t>两个账户分别发起提现，本金不计入收益账户50 USDT门槛。不得通过直接转入本金账户再提现绕过收益账户门槛及收费；余额再购买等资金流转细则见第九节。</w:t>
      </w:r>
    </w:p>
    <w:p>
      <w:pPr>
        <w:pStyle w:val="Heading2"/>
      </w:pPr>
      <w:r>
        <w:rPr>
          <w:rFonts w:ascii="Hiragino Sans GB" w:hAnsi="Hiragino Sans GB" w:eastAsia="Hiragino Sans GB" w:cs="Hiragino Sans GB"/>
        </w:rPr>
        <w:t>提现门槛与费用</w:t>
      </w:r>
    </w:p>
    <w:tbl>
      <w:tblPr>
        <w:tblW w:type="auto" w:w="0"/>
        <w:tblLayout w:type="fixed"/>
        <w:tblLook w:firstColumn="1" w:firstRow="1" w:lastColumn="0" w:lastRow="0" w:noHBand="0" w:noVBand="1" w:val="04A0"/>
      </w:tblPr>
      <w:tblGrid>
        <w:gridCol w:w="1512"/>
        <w:gridCol w:w="3384"/>
        <w:gridCol w:w="4896"/>
      </w:tblGrid>
      <w:tr>
        <w:trPr>
          <w:cantSplit/>
          <w:tblHeader/>
        </w:trPr>
        <w:tc>
          <w:tcPr>
            <w:tcW w:type="dxa" w:w="1512"/>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100" w:before="100"/>
            </w:pPr>
            <w:r>
              <w:rPr>
                <w:rFonts w:ascii="Hiragino Sans GB" w:hAnsi="Hiragino Sans GB" w:eastAsia="Hiragino Sans GB" w:cs="Hiragino Sans GB"/>
                <w:b/>
                <w:sz w:val="20"/>
              </w:rPr>
              <w:t>账户</w:t>
            </w:r>
          </w:p>
        </w:tc>
        <w:tc>
          <w:tcPr>
            <w:tcW w:type="dxa" w:w="3384"/>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100" w:before="100"/>
            </w:pPr>
            <w:r>
              <w:rPr>
                <w:rFonts w:ascii="Hiragino Sans GB" w:hAnsi="Hiragino Sans GB" w:eastAsia="Hiragino Sans GB" w:cs="Hiragino Sans GB"/>
                <w:b/>
                <w:sz w:val="20"/>
              </w:rPr>
              <w:t>提现门槛</w:t>
            </w:r>
          </w:p>
        </w:tc>
        <w:tc>
          <w:tcPr>
            <w:tcW w:type="dxa" w:w="4896"/>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100" w:before="100"/>
            </w:pPr>
            <w:r>
              <w:rPr>
                <w:rFonts w:ascii="Hiragino Sans GB" w:hAnsi="Hiragino Sans GB" w:eastAsia="Hiragino Sans GB" w:cs="Hiragino Sans GB"/>
                <w:b/>
                <w:sz w:val="20"/>
              </w:rPr>
              <w:t>费用与到账</w:t>
            </w:r>
          </w:p>
        </w:tc>
      </w:tr>
      <w:tr>
        <w:trPr>
          <w:cantSplit/>
        </w:trPr>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100" w:before="100"/>
            </w:pPr>
            <w:r>
              <w:rPr>
                <w:rFonts w:ascii="Hiragino Sans GB" w:hAnsi="Hiragino Sans GB" w:eastAsia="Hiragino Sans GB" w:cs="Hiragino Sans GB"/>
                <w:b w:val="0"/>
                <w:sz w:val="20"/>
              </w:rPr>
              <w:t>本金账户</w:t>
            </w:r>
          </w:p>
        </w:tc>
        <w:tc>
          <w:tcPr>
            <w:tcW w:type="dxa" w:w="33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100" w:before="100"/>
            </w:pPr>
            <w:r>
              <w:rPr>
                <w:rFonts w:ascii="Hiragino Sans GB" w:hAnsi="Hiragino Sans GB" w:eastAsia="Hiragino Sans GB" w:cs="Hiragino Sans GB"/>
                <w:b w:val="0"/>
                <w:sz w:val="20"/>
              </w:rPr>
              <w:t>不设固定最低金额，申请金额须足以支付网络费并形成正数到账</w:t>
            </w:r>
          </w:p>
        </w:tc>
        <w:tc>
          <w:tcPr>
            <w:tcW w:type="dxa" w:w="48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100" w:before="100"/>
            </w:pPr>
            <w:r>
              <w:rPr>
                <w:rFonts w:ascii="Hiragino Sans GB" w:hAnsi="Hiragino Sans GB" w:eastAsia="Hiragino Sans GB" w:cs="Hiragino Sans GB"/>
                <w:b w:val="0"/>
                <w:sz w:val="20"/>
              </w:rPr>
              <w:t>仅收网络费；实际到账＝申请金额－网络费</w:t>
            </w:r>
          </w:p>
        </w:tc>
      </w:tr>
      <w:tr>
        <w:trPr>
          <w:cantSplit/>
        </w:trPr>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100" w:before="100"/>
            </w:pPr>
            <w:r>
              <w:rPr>
                <w:rFonts w:ascii="Hiragino Sans GB" w:hAnsi="Hiragino Sans GB" w:eastAsia="Hiragino Sans GB" w:cs="Hiragino Sans GB"/>
                <w:b w:val="0"/>
                <w:sz w:val="20"/>
              </w:rPr>
              <w:t>收益账户</w:t>
            </w:r>
          </w:p>
        </w:tc>
        <w:tc>
          <w:tcPr>
            <w:tcW w:type="dxa" w:w="33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100" w:before="100"/>
            </w:pPr>
            <w:r>
              <w:rPr>
                <w:rFonts w:ascii="Hiragino Sans GB" w:hAnsi="Hiragino Sans GB" w:eastAsia="Hiragino Sans GB" w:cs="Hiragino Sans GB"/>
                <w:b w:val="0"/>
                <w:sz w:val="20"/>
              </w:rPr>
              <w:t>单笔申请金额至少50 USDT，按扣费前金额判断</w:t>
            </w:r>
          </w:p>
        </w:tc>
        <w:tc>
          <w:tcPr>
            <w:tcW w:type="dxa" w:w="48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100" w:before="100"/>
            </w:pPr>
            <w:r>
              <w:rPr>
                <w:rFonts w:ascii="Hiragino Sans GB" w:hAnsi="Hiragino Sans GB" w:eastAsia="Hiragino Sans GB" w:cs="Hiragino Sans GB"/>
                <w:b w:val="0"/>
                <w:sz w:val="20"/>
              </w:rPr>
              <w:t>平台服务费＝申请金额×3%；实际到账＝申请金额－服务费－网络费</w:t>
            </w:r>
          </w:p>
        </w:tc>
      </w:tr>
    </w:tbl>
    <w:p>
      <w:pPr/>
      <w:r>
        <w:rPr>
          <w:rFonts w:ascii="Hiragino Sans GB" w:hAnsi="Hiragino Sans GB" w:eastAsia="Hiragino Sans GB" w:cs="Hiragino Sans GB"/>
        </w:rPr>
        <w:t>服务费及网络费均由用户承担，从申请提现金额中扣除。收益账户按每笔申请金额收取3%平台服务费，不按累计收益或扣除网络费后的金额计算；不再沿用1%或2%的旧讨论比例。本金账户不收平台服务费。</w:t>
      </w:r>
    </w:p>
    <w:p>
      <w:pPr/>
      <w:r>
        <w:rPr>
          <w:rFonts w:ascii="Hiragino Sans GB" w:hAnsi="Hiragino Sans GB" w:eastAsia="Hiragino Sans GB" w:cs="Hiragino Sans GB"/>
        </w:rPr>
        <w:t>示例：收益账户申请提现50 USDT，若网络费为1 USDT，平台服务费为1.5 USDT，实际到账47.5 USDT；本金账户申请提现50 USDT，在同样假设下实际到账49 USDT。示例中的1 USDT仅用于计算演示，不是任何网络的固定报价。</w:t>
      </w:r>
    </w:p>
    <w:p>
      <w:pPr>
        <w:pStyle w:val="Heading2"/>
      </w:pPr>
      <w:r>
        <w:rPr>
          <w:rFonts w:ascii="Hiragino Sans GB" w:hAnsi="Hiragino Sans GB" w:eastAsia="Hiragino Sans GB" w:cs="Hiragino Sans GB"/>
        </w:rPr>
        <w:t>多网络选择与费用确认</w:t>
      </w:r>
    </w:p>
    <w:p>
      <w:pPr/>
      <w:r>
        <w:rPr>
          <w:rFonts w:ascii="Hiragino Sans GB" w:hAnsi="Hiragino Sans GB" w:eastAsia="Hiragino Sans GB" w:cs="Hiragino Sans GB"/>
        </w:rPr>
        <w:t>充值页面展示当前支持的网络及对应充值地址，提示用户转出网络须与选择的网络一致。提现时用户选择支持的网络并填写匹配的收款地址，系统校验该网络的地址格式；格式校验不能替代用户对收款平台支持网络的确认。</w:t>
      </w:r>
    </w:p>
    <w:p>
      <w:pPr/>
      <w:r>
        <w:rPr>
          <w:rFonts w:ascii="Hiragino Sans GB" w:hAnsi="Hiragino Sans GB" w:eastAsia="Hiragino Sans GB" w:cs="Hiragino Sans GB"/>
        </w:rPr>
        <w:t>用户提交提现前，页面展示账户类型、所选网络、申请金额、平台服务费、网络费及实际到账金额。用户确认本次费用报价后再提交，不能在打款时未经用户再次确认追加扣费。报价有效期、费用变化处理及各网络费用来源见第九节。</w:t>
      </w:r>
    </w:p>
    <w:p>
      <w:pPr>
        <w:pStyle w:val="Heading2"/>
      </w:pPr>
      <w:r>
        <w:rPr>
          <w:rFonts w:ascii="Hiragino Sans GB" w:hAnsi="Hiragino Sans GB" w:eastAsia="Hiragino Sans GB" w:cs="Hiragino Sans GB"/>
        </w:rPr>
        <w:t>提现状态与资金占用</w:t>
      </w:r>
    </w:p>
    <w:p>
      <w:pPr/>
      <w:r>
        <w:rPr>
          <w:rFonts w:ascii="Hiragino Sans GB" w:hAnsi="Hiragino Sans GB" w:eastAsia="Hiragino Sans GB" w:cs="Hiragino Sans GB"/>
        </w:rPr>
        <w:t>申请提交后，将申请金额从对应账户可用余额转为提现处理中金额；因费用从申请金额内扣除，不额外重复锁定手续费。处理中金额不得重复提现或用于购买。到账金额须为正数，不满足金额或费用条件时不提交申请。</w:t>
      </w:r>
    </w:p>
    <w:p>
      <w:pPr/>
      <w:r>
        <w:rPr>
          <w:rFonts w:ascii="Hiragino Sans GB" w:hAnsi="Hiragino Sans GB" w:eastAsia="Hiragino Sans GB" w:cs="Hiragino Sans GB"/>
        </w:rPr>
        <w:t>审核拒绝或已确认未付款的失败申请，释放占用金额；打款结果不明时先核查，不得一边退回余额一边重新打款。已上链失败等可能产生实际费用的场景，其费用承担与退回口径见第九节。提现审核条件、审核时限及到账时限尚待明确。</w:t>
      </w:r>
    </w:p>
    <w:p>
      <w:pPr>
        <w:pStyle w:val="Heading1"/>
      </w:pPr>
      <w:r>
        <w:rPr>
          <w:rFonts w:ascii="Hiragino Sans GB" w:hAnsi="Hiragino Sans GB" w:eastAsia="Hiragino Sans GB" w:cs="Hiragino Sans GB"/>
        </w:rPr>
        <w:t>七 异常反馈与后台处理</w:t>
      </w:r>
    </w:p>
    <w:p>
      <w:pPr/>
      <w:r>
        <w:rPr>
          <w:rFonts w:ascii="Hiragino Sans GB" w:hAnsi="Hiragino Sans GB" w:eastAsia="Hiragino Sans GB" w:cs="Hiragino Sans GB"/>
        </w:rPr>
        <w:t>用户出现充值、提现、订单、收益、佣金、账户冻结或其他异常时，可联系客服。处理流程为：用户联系客服 → 客服登记并反馈后台 → 后台技术人员核查处理 → 客服向用户反馈处理结果。</w:t>
      </w:r>
    </w:p>
    <w:p>
      <w:pPr/>
      <w:r>
        <w:rPr>
          <w:rFonts w:ascii="Hiragino Sans GB" w:hAnsi="Hiragino Sans GB" w:eastAsia="Hiragino Sans GB" w:cs="Hiragino Sans GB"/>
        </w:rPr>
        <w:t>客服负责受理、登记、转交和结果反馈，后台技术人员负责核查与处理。异常记录应关联用户、相关订单或资金流水，并记录问题、处理进度及结果，便于后续查询。涉及资金、订单、持仓、等级和邀请关系的实际修改权限、审批人及调整规则仍须明确，不能将技术处理职责视为无限修改权限。</w:t>
      </w:r>
    </w:p>
    <w:p>
      <w:pPr/>
      <w:r>
        <w:rPr>
          <w:rFonts w:ascii="Hiragino Sans GB" w:hAnsi="Hiragino Sans GB" w:eastAsia="Hiragino Sans GB" w:cs="Hiragino Sans GB"/>
        </w:rPr>
        <w:t>异常处理须遵守已确定的绑定、购买、结算及提现规则；涉及规则例外或记录更正的权限边界见第九节。</w:t>
      </w:r>
    </w:p>
    <w:p>
      <w:pPr>
        <w:pStyle w:val="Heading1"/>
      </w:pPr>
      <w:r>
        <w:rPr>
          <w:rFonts w:ascii="Hiragino Sans GB" w:hAnsi="Hiragino Sans GB" w:eastAsia="Hiragino Sans GB" w:cs="Hiragino Sans GB"/>
        </w:rPr>
        <w:t>八 页面范围与技术验收</w:t>
      </w:r>
    </w:p>
    <w:p>
      <w:pPr>
        <w:pStyle w:val="Heading2"/>
      </w:pPr>
      <w:r>
        <w:rPr>
          <w:rFonts w:ascii="Hiragino Sans GB" w:hAnsi="Hiragino Sans GB" w:eastAsia="Hiragino Sans GB" w:cs="Hiragino Sans GB"/>
        </w:rPr>
        <w:t>页面与后台</w:t>
      </w:r>
    </w:p>
    <w:p>
      <w:pPr/>
      <w:r>
        <w:rPr>
          <w:rFonts w:ascii="Hiragino Sans GB" w:hAnsi="Hiragino Sans GB" w:eastAsia="Hiragino Sans GB" w:cs="Hiragino Sans GB"/>
        </w:rPr>
        <w:t>邀请好友：展示专属邀请码、复制邀请链接及返佣说明。仅未绑定且本人及所有层级下级均无成功购买记录的用户展示补填入口；不符合条件时展示不可补绑原因。首次购买前提示“本人或任意层级下级购买成功后，将无法补填邀请码绑定上级”。未绑定上级仍可正常购买符合资格的产品。</w:t>
      </w:r>
    </w:p>
    <w:p>
      <w:pPr/>
      <w:r>
        <w:rPr>
          <w:rFonts w:ascii="Hiragino Sans GB" w:hAnsi="Hiragino Sans GB" w:eastAsia="Hiragino Sans GB" w:cs="Hiragino Sans GB"/>
        </w:rPr>
        <w:t>个人VIP：展示有效持仓、等级、加成比例及距下一等级金额。我的团队：展示三代有效人数、有效持仓、团队等级及两项升级差额；不得将三代统计范围误用于补绑资格判断。</w:t>
      </w:r>
    </w:p>
    <w:p>
      <w:pPr/>
      <w:r>
        <w:rPr>
          <w:rFonts w:ascii="Hiragino Sans GB" w:hAnsi="Hiragino Sans GB" w:eastAsia="Hiragino Sans GB" w:cs="Hiragino Sans GB"/>
        </w:rPr>
        <w:t>产品及订单：产品展示基础日收益率、周期、收益返还方式、购买金额范围、个人VIP及团队等级门槛；订单展示生效前适用VIP、锁定加成、结算安排与到期时间。</w:t>
      </w:r>
    </w:p>
    <w:p>
      <w:pPr/>
      <w:r>
        <w:rPr>
          <w:rFonts w:ascii="Hiragino Sans GB" w:hAnsi="Hiragino Sans GB" w:eastAsia="Hiragino Sans GB" w:cs="Hiragino Sans GB"/>
        </w:rPr>
        <w:t>资金及明细：本金账户与收益账户分别展示余额及提现记录。收益账户明细区分产品收益和邀请佣金；佣金记录包含来源代数、关联订单和收益结算、基数、比例、金额、应结算时间、实际入账时间及状态。提现记录包含账户、网络、申请金额、3%服务费或零服务费、网络费、实际到账及状态。</w:t>
      </w:r>
    </w:p>
    <w:p>
      <w:pPr/>
      <w:r>
        <w:rPr>
          <w:rFonts w:ascii="Hiragino Sans GB" w:hAnsi="Hiragino Sans GB" w:eastAsia="Hiragino Sans GB" w:cs="Hiragino Sans GB"/>
        </w:rPr>
        <w:t>后台：配置产品及等级规则，完成上架校验后向APP发布；查询邀请关系、购买历史、持仓、等级变化、充值、收益、本金、佣金及提现记录，接收并跟进客服反馈的异常。</w:t>
      </w:r>
    </w:p>
    <w:p>
      <w:pPr>
        <w:pStyle w:val="Heading2"/>
      </w:pPr>
      <w:r>
        <w:rPr>
          <w:rFonts w:ascii="Hiragino Sans GB" w:hAnsi="Hiragino Sans GB" w:eastAsia="Hiragino Sans GB" w:cs="Hiragino Sans GB"/>
        </w:rPr>
        <w:t>技术要求</w:t>
      </w:r>
    </w:p>
    <w:p>
      <w:pPr/>
      <w:r>
        <w:rPr>
          <w:rFonts w:ascii="Hiragino Sans GB" w:hAnsi="Hiragino Sans GB" w:eastAsia="Hiragino Sans GB" w:cs="Hiragino Sans GB"/>
        </w:rPr>
        <w:t>服务端不得因用户未绑定上级而拒绝购买，但必须校验产品上架状态、购买金额范围及生效前等级门槛。邀请码唯一，绑定禁止自邀、重复绑定及循环关系，已存在上级不得覆盖。</w:t>
      </w:r>
    </w:p>
    <w:p>
      <w:pPr/>
      <w:r>
        <w:rPr>
          <w:rFonts w:ascii="Hiragino Sans GB" w:hAnsi="Hiragino Sans GB" w:eastAsia="Hiragino Sans GB" w:cs="Hiragino Sans GB"/>
        </w:rPr>
        <w:t>所有补绑入口统一校验：本人无上级，且本人及所有层级下级均无成功购买记录；禁止只查当前持仓或前三代。本人或任意下级首次购买与相关上级补绑必须保持并发一致性：补绑先成功则购买沿用新关系；购买先成功则相关用户补绑失败。不能只在前端隐藏入口。</w:t>
      </w:r>
    </w:p>
    <w:p>
      <w:pPr/>
      <w:r>
        <w:rPr>
          <w:rFonts w:ascii="Hiragino Sans GB" w:hAnsi="Hiragino Sans GB" w:eastAsia="Hiragino Sans GB" w:cs="Hiragino Sans GB"/>
        </w:rPr>
        <w:t>保存订单收益参数、适用个人VIP、锁定加成、购买资格校验依据、产品及等级规则版本和每次结算依据；结算依据包括应结算时点、接收人团队等级、关系代数及比例。规则变化不得无记录地改写历史结算。</w:t>
      </w:r>
    </w:p>
    <w:p>
      <w:pPr/>
      <w:r>
        <w:rPr>
          <w:rFonts w:ascii="Hiragino Sans GB" w:hAnsi="Hiragino Sans GB" w:eastAsia="Hiragino Sans GB" w:cs="Hiragino Sans GB"/>
        </w:rPr>
        <w:t>充值、收益、本金、佣金、提现及资金调整均需可追溯的唯一业务流水，重试或重复回调不得重复入账、重复扣款或重复打款。金额采用精确十进制或等价定点计算；保存计算值、费用报价和实际入账值，提现可用余额检查与资金占用须一致完成。</w:t>
      </w:r>
    </w:p>
    <w:p>
      <w:pPr/>
      <w:r>
        <w:rPr>
          <w:rFonts w:ascii="Hiragino Sans GB" w:hAnsi="Hiragino Sans GB" w:eastAsia="Hiragino Sans GB" w:cs="Hiragino Sans GB"/>
        </w:rPr>
        <w:t>持仓、有效人数及等级变化一致更新，到期按第二节顺序处理；同分钟多笔事件的统一排序仍见第九节。客服转交及技术处理保留问题与处理记录，修改数据须可追溯。</w:t>
      </w:r>
    </w:p>
    <w:p>
      <w:pPr>
        <w:pStyle w:val="Heading2"/>
      </w:pPr>
      <w:r>
        <w:rPr>
          <w:rFonts w:ascii="Hiragino Sans GB" w:hAnsi="Hiragino Sans GB" w:eastAsia="Hiragino Sans GB" w:cs="Hiragino Sans GB"/>
        </w:rPr>
        <w:t>核心验收场景</w:t>
      </w:r>
    </w:p>
    <w:tbl>
      <w:tblPr>
        <w:tblW w:type="auto" w:w="0"/>
        <w:jc w:val="center"/>
        <w:tblLayout w:type="fixed"/>
        <w:tblLook w:firstColumn="1" w:firstRow="1" w:lastColumn="0" w:lastRow="0" w:noHBand="0" w:noVBand="1" w:val="04A0"/>
      </w:tblPr>
      <w:tblGrid>
        <w:gridCol w:w="4032"/>
        <w:gridCol w:w="5760"/>
      </w:tblGrid>
      <w:tr>
        <w:trPr>
          <w:cantSplit/>
          <w:tblHeader/>
        </w:trPr>
        <w:tc>
          <w:tcPr>
            <w:tcW w:type="dxa" w:w="4032"/>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场景</w:t>
            </w:r>
          </w:p>
        </w:tc>
        <w:tc>
          <w:tcPr>
            <w:tcW w:type="dxa" w:w="5760"/>
            <w:vAlign w:val="center"/>
            <w:shd w:fill="E7EDF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sz w:val="18"/>
              </w:rPr>
              <w:t>预期结果</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未绑定用户购买</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允许正常购买；购买成功后永久禁止补绑；没有对应上级时不发放该代佣金</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已绑定用户再次填写</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不能替换原上级</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同人两笔各150 USDT</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计1名有效成员及300 USDT团队金额</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其中一笔150 USDT到期</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计0名有效成员及150 USDT团队金额</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人数达标但金额不足</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不升至该级，取两项同时达标最高级</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团队0级存在三代收益来源</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只享有第一代5%</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收益或佣金为1.239 USDT</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实际入账1.23 USDT</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结算任务重复执行</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同一业务款项仅入账一次</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第五节示例计算核对</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以第五节试算结果作为算术校验基线</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本笔购买触发VIP升级</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本笔锁定生效前等级加成，升级用于后续新订单</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持有期间VIP升降级</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已生效订单锁定加成不变</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收益按期正常结算</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按收益应结算时点的接收人团队等级选取比例</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单笔订单到期</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先结最后一期收益及佣金，再返本、移除持仓并重算等级</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符合补绑资格</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仅本人及所有层级下级均无成功购买记录且未绑定时允许补绑；不得将已有订单接入新上级链</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上级不具备该代返佣资格</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该份额不发放，也不越级转移</w:t>
            </w:r>
          </w:p>
        </w:tc>
      </w:tr>
      <w:tr>
        <w:trPr>
          <w:cantSplit/>
        </w:trPr>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每笔每期截取顺序</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如收益计算值1.239 USDT、比例5%，先入账收益1.23，再以1.23×5%计算佣金并截取为0.06 USDT</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本人未购买但下级已购买</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任意层级下级有成功购买记录即拒绝补绑，包括第四代及更深层级</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购买成功后尝试补绑</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页面关闭补填入口；直接调用接口或使用邀请链接也必须拒绝</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本人或下级产品到期及持仓清零</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历史成功购买记录仍有效，不恢复补绑资格</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本人或任意下级购买与补绑并发</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b w:val="0"/>
                <w:sz w:val="18"/>
              </w:rPr>
              <w:t>先补绑则购买沿用关系；先购买则相关用户补绑失败，禁止检查和写入之间被绕过</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收益30 USDT加佣金20 USDT</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合计为收益账户50 USDT，可申请提现50 USDT</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收益账户申请提现49.99 USDT</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不满足单笔50 USDT门槛，拒绝申请</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收益账户提现50 USDT且网络费1 USDT</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服务费1.5 USDT，到账47.5 USDT；账户占用50 USDT，不重复扣费</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本金账户提现10 USDT且网络费1 USDT</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不受50 USDT门槛限制，无平台服务费，到账9 USDT</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本金提现金额不足以覆盖网络费</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拒绝申请并说明原因；实际到账必须为正数</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提现时变更网络或费用变化</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提交前展示所选网络报价及到账金额；确认后不得未经再次确认追加扣费</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产品配置个人VIP 3及团队等级5</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个人VIP≥3且团队等级≥5才可购买；只满足一项则拒绝</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购买本身将触发达到产品门槛</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不能用本笔触发的升级满足自身资格，按生效前等级判断</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产品仅设置一项等级门槛或不限等级</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分别按已配置门槛校验，或不限制等级；仍校验其他购买条件</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周期与返还间隔或金额范围无效</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上架校验不通过，不允许发布为可购买产品</w:t>
            </w:r>
          </w:p>
        </w:tc>
      </w:tr>
      <w:tr>
        <w:trPr>
          <w:cantSplit/>
        </w:trPr>
        <w:tc>
          <w:tcPr>
            <w:tcW w:type="dxa" w:w="4032"/>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用户报告异常</w:t>
            </w:r>
          </w:p>
        </w:tc>
        <w:tc>
          <w:tcPr>
            <w:tcW w:type="dxa" w:w="5760"/>
            <w:vAlign w:val="center"/>
            <w:shd w:fill="F5F7F9"/>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pPr>
            <w:r>
              <w:rPr>
                <w:rFonts w:ascii="Hiragino Sans GB" w:hAnsi="Hiragino Sans GB" w:eastAsia="Hiragino Sans GB" w:cs="Hiragino Sans GB"/>
              </w:rPr>
              <w:t>客服登记转交，后台技术人员核查处理，客服反馈结果并可追踪记录</w:t>
            </w:r>
          </w:p>
        </w:tc>
      </w:tr>
    </w:tbl>
    <w:p>
      <w:pPr>
        <w:pStyle w:val="Heading1"/>
      </w:pPr>
      <w:r>
        <w:rPr>
          <w:rFonts w:ascii="Hiragino Sans GB" w:hAnsi="Hiragino Sans GB" w:eastAsia="Hiragino Sans GB" w:cs="Hiragino Sans GB"/>
        </w:rPr>
        <w:t>九 尚未定义的事项</w:t>
      </w:r>
    </w:p>
    <w:p>
      <w:pPr/>
      <w:r>
        <w:rPr>
          <w:rFonts w:ascii="Hiragino Sans GB" w:hAnsi="Hiragino Sans GB" w:eastAsia="Hiragino Sans GB" w:cs="Hiragino Sans GB"/>
        </w:rPr>
        <w:t>已确定的双账户划分、提现门槛、3%平台服务费、网络费承担、异常转交流程、后台产品配置及所有层级购买后禁止补绑，均已并入正文。本节仅列出剩余实施边界，不再将上述事项整体列为未定义。</w:t>
      </w:r>
    </w:p>
    <w:p>
      <w:pPr>
        <w:pStyle w:val="Heading2"/>
      </w:pPr>
      <w:r>
        <w:rPr>
          <w:rFonts w:ascii="Hiragino Sans GB" w:hAnsi="Hiragino Sans GB" w:eastAsia="Hiragino Sans GB" w:cs="Hiragino Sans GB"/>
        </w:rPr>
        <w:t>1 延迟结算与历史等级还原</w:t>
      </w:r>
    </w:p>
    <w:p>
      <w:pPr/>
      <w:r>
        <w:rPr>
          <w:rFonts w:ascii="Hiragino Sans GB" w:hAnsi="Hiragino Sans GB" w:eastAsia="Hiragino Sans GB" w:cs="Hiragino Sans GB"/>
        </w:rPr>
        <w:t>团队等级按收益应结算时点取值已确定。仍需明确延迟执行时如何还原该时点等级、历史记录或快照缺失时如何处理，以及历史记录保存要求。按现行补绑条件，不再保留正常已有订单后补上级的归属问题。</w:t>
      </w:r>
    </w:p>
    <w:p>
      <w:pPr>
        <w:pStyle w:val="Heading2"/>
      </w:pPr>
      <w:r>
        <w:rPr>
          <w:rFonts w:ascii="Hiragino Sans GB" w:hAnsi="Hiragino Sans GB" w:eastAsia="Hiragino Sans GB" w:cs="Hiragino Sans GB"/>
        </w:rPr>
        <w:t>2 同分钟事件与并发顺序</w:t>
      </w:r>
    </w:p>
    <w:p>
      <w:pPr/>
      <w:r>
        <w:rPr>
          <w:rFonts w:ascii="Hiragino Sans GB" w:hAnsi="Hiragino Sans GB" w:eastAsia="Hiragino Sans GB" w:cs="Hiragino Sans GB"/>
        </w:rPr>
        <w:t>单笔到期先结收益及佣金再返本、移除持仓和重算等级已确定。仍需明确同分钟多笔到期和新购的统一排序、是否使用同一时点快照，以及并发新订单如何取得生效前等级。购买与本人或任意层级上级补绑的互斥结果遵守第八节。</w:t>
      </w:r>
    </w:p>
    <w:p>
      <w:pPr>
        <w:pStyle w:val="Heading2"/>
      </w:pPr>
      <w:r>
        <w:rPr>
          <w:rFonts w:ascii="Hiragino Sans GB" w:hAnsi="Hiragino Sans GB" w:eastAsia="Hiragino Sans GB" w:cs="Hiragino Sans GB"/>
        </w:rPr>
        <w:t>3 订单生效与时间标准</w:t>
      </w:r>
    </w:p>
    <w:p>
      <w:pPr/>
      <w:r>
        <w:rPr>
          <w:rFonts w:ascii="Hiragino Sans GB" w:hAnsi="Hiragino Sans GB" w:eastAsia="Hiragino Sans GB" w:cs="Hiragino Sans GB"/>
        </w:rPr>
        <w:t>需明确订单在支付成功、审核通过或其他哪个事件后生效，秒数如何归零，系统统一时区及24小时计算标准，并统一各端展示。</w:t>
      </w:r>
    </w:p>
    <w:p>
      <w:pPr>
        <w:pStyle w:val="Heading2"/>
      </w:pPr>
      <w:r>
        <w:rPr>
          <w:rFonts w:ascii="Hiragino Sans GB" w:hAnsi="Hiragino Sans GB" w:eastAsia="Hiragino Sans GB" w:cs="Hiragino Sans GB"/>
        </w:rPr>
        <w:t>4 邀请入口冲突与无效邀请码</w:t>
      </w:r>
    </w:p>
    <w:p>
      <w:pPr/>
      <w:r>
        <w:rPr>
          <w:rFonts w:ascii="Hiragino Sans GB" w:hAnsi="Hiragino Sans GB" w:eastAsia="Hiragino Sans GB" w:cs="Hiragino Sans GB"/>
        </w:rPr>
        <w:t>链接携带邀请码与手填邀请码不一致时的优先级、无效邀请码提示和注册处理，以及符合补绑资格但邀请码校验失败时的流程，仍需明确。</w:t>
      </w:r>
    </w:p>
    <w:p>
      <w:pPr>
        <w:pStyle w:val="Heading2"/>
      </w:pPr>
      <w:r>
        <w:rPr>
          <w:rFonts w:ascii="Hiragino Sans GB" w:hAnsi="Hiragino Sans GB" w:eastAsia="Hiragino Sans GB" w:cs="Hiragino Sans GB"/>
        </w:rPr>
        <w:t>5 支持网络与充值到账规则</w:t>
      </w:r>
    </w:p>
    <w:p>
      <w:pPr/>
      <w:r>
        <w:rPr>
          <w:rFonts w:ascii="Hiragino Sans GB" w:hAnsi="Hiragino Sans GB" w:eastAsia="Hiragino Sans GB" w:cs="Hiragino Sans GB"/>
        </w:rPr>
        <w:t>需列出正式支持的USDT网络及对应代币合约、充值确认数、到账判定、充值金额精度，以及错链、错币、漏填必要信息和异常充值的处理方式。TRC20为已提及网络，其他网络尚未逐项指定。</w:t>
      </w:r>
    </w:p>
    <w:p>
      <w:pPr>
        <w:pStyle w:val="Heading2"/>
      </w:pPr>
      <w:r>
        <w:rPr>
          <w:rFonts w:ascii="Hiragino Sans GB" w:hAnsi="Hiragino Sans GB" w:eastAsia="Hiragino Sans GB" w:cs="Hiragino Sans GB"/>
        </w:rPr>
        <w:t>6 提现费用报价与审核细则</w:t>
      </w:r>
    </w:p>
    <w:p>
      <w:pPr/>
      <w:r>
        <w:rPr>
          <w:rFonts w:ascii="Hiragino Sans GB" w:hAnsi="Hiragino Sans GB" w:eastAsia="Hiragino Sans GB" w:cs="Hiragino Sans GB"/>
        </w:rPr>
        <w:t>需明确各网络费用来源、换算方式、报价有效期和报价变化处理；确定3%服务费、网络费及到账金额的计算精度与取整规则。收益与佣金2位截断规则不能自动替代提现费用规则。另需定义审核条件、审批权限、审核与到账时限，以及拒绝、撤销、链上失败和结果不明时的费用退回口径。</w:t>
      </w:r>
    </w:p>
    <w:p>
      <w:pPr>
        <w:pStyle w:val="Heading2"/>
      </w:pPr>
      <w:r>
        <w:rPr>
          <w:rFonts w:ascii="Hiragino Sans GB" w:hAnsi="Hiragino Sans GB" w:eastAsia="Hiragino Sans GB" w:cs="Hiragino Sans GB"/>
        </w:rPr>
        <w:t>7 账户资金使用与防绕过边界</w:t>
      </w:r>
    </w:p>
    <w:p>
      <w:pPr/>
      <w:r>
        <w:rPr>
          <w:rFonts w:ascii="Hiragino Sans GB" w:hAnsi="Hiragino Sans GB" w:eastAsia="Hiragino Sans GB" w:cs="Hiragino Sans GB"/>
        </w:rPr>
        <w:t>需明确购买产品可使用本金账户还是也可使用收益账户，及混合资金支付的处理。若允许收益账户购买产品，须明确到期返本的账户归属与费用规则，避免收益经购买再返入本金账户而绕过50 USDT门槛及3%服务费。充值后直接提现的限制条件亦尚未定义。</w:t>
      </w:r>
    </w:p>
    <w:p>
      <w:pPr>
        <w:pStyle w:val="Heading2"/>
      </w:pPr>
      <w:r>
        <w:rPr>
          <w:rFonts w:ascii="Hiragino Sans GB" w:hAnsi="Hiragino Sans GB" w:eastAsia="Hiragino Sans GB" w:cs="Hiragino Sans GB"/>
        </w:rPr>
        <w:t>8 异常调整权限与业务后果</w:t>
      </w:r>
    </w:p>
    <w:p>
      <w:pPr/>
      <w:r>
        <w:rPr>
          <w:rFonts w:ascii="Hiragino Sans GB" w:hAnsi="Hiragino Sans GB" w:eastAsia="Hiragino Sans GB" w:cs="Hiragino Sans GB"/>
        </w:rPr>
        <w:t>客服转交后台技术人员处理的流程已确定。仍需明确谁能冻结或解冻账户、调整资金或订单，哪些操作须谁审批，以及撤销、更正、错误入账对持仓、个人VIP、团队等级和已发收益或佣金的影响。调整须记录原因、操作人、时间及前后数据，不得直接覆盖原资金流水。</w:t>
      </w:r>
    </w:p>
    <w:p>
      <w:pPr>
        <w:pStyle w:val="Heading2"/>
      </w:pPr>
      <w:r>
        <w:rPr>
          <w:rFonts w:ascii="Hiragino Sans GB" w:hAnsi="Hiragino Sans GB" w:eastAsia="Hiragino Sans GB" w:cs="Hiragino Sans GB"/>
        </w:rPr>
        <w:t>9 后台规则变更的生效范围</w:t>
      </w:r>
    </w:p>
    <w:p>
      <w:pPr/>
      <w:r>
        <w:rPr>
          <w:rFonts w:ascii="Hiragino Sans GB" w:hAnsi="Hiragino Sans GB" w:eastAsia="Hiragino Sans GB" w:cs="Hiragino Sans GB"/>
        </w:rPr>
        <w:t>正式产品参数由后台配置并校验后上架已确定。仍需定义上架后修改收益率、周期、返还方式、金额范围、等级门槛或团队返佣规则的生效时间及版本切换方式；不得改变已锁定的订单VIP加成或无记录改写历史结算。下架产品对已有订单的处理也需明确。</w:t>
      </w:r>
    </w:p>
    <w:p>
      <w:pPr>
        <w:pStyle w:val="Heading2"/>
      </w:pPr>
      <w:r>
        <w:rPr>
          <w:rFonts w:ascii="Hiragino Sans GB" w:hAnsi="Hiragino Sans GB" w:eastAsia="Hiragino Sans GB" w:cs="Hiragino Sans GB"/>
        </w:rPr>
        <w:t>10 结算部分失败与恢复</w:t>
      </w:r>
    </w:p>
    <w:p>
      <w:pPr/>
      <w:r>
        <w:rPr>
          <w:rFonts w:ascii="Hiragino Sans GB" w:hAnsi="Hiragino Sans GB" w:eastAsia="Hiragino Sans GB" w:cs="Hiragino Sans GB"/>
        </w:rPr>
        <w:t>唯一流水、幂等及可恢复要求已确定，异常经客服转交技术人员。仍需明确收益或部分佣金入账失败时是否阻断返本、移除持仓及等级重算，以及重试期限和异常状态。</w:t>
      </w:r>
    </w:p>
    <w:p>
      <w:pPr>
        <w:pStyle w:val="Heading2"/>
      </w:pPr>
      <w:r>
        <w:rPr>
          <w:rFonts w:ascii="Hiragino Sans GB" w:hAnsi="Hiragino Sans GB" w:eastAsia="Hiragino Sans GB" w:cs="Hiragino Sans GB"/>
        </w:rPr>
        <w:t>11 成功购买认定与错误记录更正</w:t>
      </w:r>
    </w:p>
    <w:p>
      <w:pPr/>
      <w:r>
        <w:rPr>
          <w:rFonts w:ascii="Hiragino Sans GB" w:hAnsi="Hiragino Sans GB" w:eastAsia="Hiragino Sans GB" w:cs="Hiragino Sans GB"/>
        </w:rPr>
        <w:t>禁止补绑已覆盖本人和所有层级下级的历史成功购买记录。需统一首次成功购买与订单生效的事件边界，明确未支付、支付失败和取消订单的认定；真实成功购买后退款或撤销原则上不自动清除历史记录。错误成功记录的认定、更正权限及是否影响本人和上级的补绑资格，仍需明确。</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GB" w:hAnsi="Hiragino Sans GB" w:eastAsia="Hiragino Sans GB"/>
    </w:rPr>
  </w:style>
  <w:style w:type="character" w:customStyle="1" w:styleId="HeaderChar">
    <w:name w:val="Header Char"/>
    <w:basedOn w:val="DefaultParagraphFont"/>
    <w:link w:val="Header"/>
    <w:uiPriority w:val="99"/>
    <w:rsid w:val="00E618BF"/>
    <w:rPr>
      <w:rFonts w:ascii="Hiragino Sans GB" w:hAnsi="Hiragino Sans GB"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GB" w:hAnsi="Hiragino Sans GB" w:eastAsia="Hiragino Sans GB"/>
    </w:rPr>
  </w:style>
  <w:style w:type="character" w:customStyle="1" w:styleId="FooterChar">
    <w:name w:val="Footer Char"/>
    <w:basedOn w:val="DefaultParagraphFont"/>
    <w:link w:val="Footer"/>
    <w:uiPriority w:val="99"/>
    <w:rsid w:val="00E618BF"/>
    <w:rPr>
      <w:rFonts w:ascii="Hiragino Sans GB" w:hAnsi="Hiragino Sans GB"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GB" w:hAnsi="Hiragino Sans GB"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GB" w:hAnsi="Hiragino Sans GB" w:eastAsia="Hiragino Sans GB"/>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GB" w:hAnsi="Hiragino Sans GB"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GB" w:hAnsi="Hiragino Sans GB"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GB" w:hAnsi="Hiragino Sans GB"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GB" w:hAnsi="Hiragino Sans GB"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GB" w:hAnsi="Hiragino Sans GB"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GB" w:hAnsi="Hiragino Sans GB"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GB" w:hAnsi="Hiragino Sans GB" w:eastAsia="Hiragino Sans GB"/>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GB" w:hAnsi="Hiragino Sans GB"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GB" w:hAnsi="Hiragino Sans GB"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GB" w:hAnsi="Hiragino Sans GB"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GB" w:hAnsi="Hiragino Sans GB" w:eastAsia="Hiragino Sans GB"/>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iragino Sans GB" w:hAnsi="Hiragino Sans GB" w:eastAsia="Hiragino Sans G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GB" w:hAnsi="Hiragino Sans GB"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GB" w:hAnsi="Hiragino Sans GB"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GB" w:hAnsi="Hiragino Sans GB"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GB" w:hAnsi="Hiragino Sans GB" w:eastAsia="Hiragino Sans GB"/>
    </w:r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rPr>
  </w:style>
  <w:style w:type="character" w:customStyle="1" w:styleId="BodyTextChar">
    <w:name w:val="Body Text Char"/>
    <w:basedOn w:val="DefaultParagraphFont"/>
    <w:link w:val="BodyText"/>
    <w:uiPriority w:val="99"/>
    <w:rsid w:val="00AA1D8D"/>
    <w:rPr>
      <w:rFonts w:ascii="Hiragino Sans GB" w:hAnsi="Hiragino Sans GB"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GB" w:hAnsi="Hiragino Sans GB" w:eastAsia="Hiragino Sans GB"/>
    </w:rPr>
  </w:style>
  <w:style w:type="character" w:customStyle="1" w:styleId="BodyText2Char">
    <w:name w:val="Body Text 2 Char"/>
    <w:basedOn w:val="DefaultParagraphFont"/>
    <w:link w:val="BodyText2"/>
    <w:uiPriority w:val="99"/>
    <w:rsid w:val="00AA1D8D"/>
    <w:rPr>
      <w:rFonts w:ascii="Hiragino Sans GB" w:hAnsi="Hiragino Sans GB" w:eastAsia="Hiragino Sans GB"/>
    </w:rPr>
  </w:style>
  <w:style w:type="paragraph" w:styleId="BodyText3">
    <w:name w:val="Body Text 3"/>
    <w:basedOn w:val="Normal"/>
    <w:link w:val="BodyText3Char"/>
    <w:uiPriority w:val="99"/>
    <w:unhideWhenUsed/>
    <w:rsid w:val="00AA1D8D"/>
    <w:pPr>
      <w:spacing w:after="120"/>
    </w:pPr>
    <w:rPr>
      <w:rFonts w:ascii="Hiragino Sans GB" w:hAnsi="Hiragino Sans GB" w:eastAsia="Hiragino Sans GB"/>
      <w:sz w:val="16"/>
      <w:szCs w:val="16"/>
    </w:rPr>
  </w:style>
  <w:style w:type="character" w:customStyle="1" w:styleId="BodyText3Char">
    <w:name w:val="Body Text 3 Char"/>
    <w:basedOn w:val="DefaultParagraphFont"/>
    <w:link w:val="BodyText3"/>
    <w:uiPriority w:val="99"/>
    <w:rsid w:val="00AA1D8D"/>
    <w:rPr>
      <w:rFonts w:ascii="Hiragino Sans GB" w:hAnsi="Hiragino Sans GB" w:eastAsia="Hiragino Sans GB"/>
      <w:sz w:val="16"/>
      <w:szCs w:val="16"/>
    </w:rPr>
  </w:style>
  <w:style w:type="paragraph" w:styleId="List">
    <w:name w:val="List"/>
    <w:basedOn w:val="Normal"/>
    <w:uiPriority w:val="99"/>
    <w:unhideWhenUsed/>
    <w:rsid w:val="00AA1D8D"/>
    <w:pPr>
      <w:ind w:left="360" w:hanging="360"/>
      <w:contextualSpacing/>
    </w:pPr>
    <w:rPr>
      <w:rFonts w:ascii="Hiragino Sans GB" w:hAnsi="Hiragino Sans GB" w:eastAsia="Hiragino Sans GB"/>
    </w:rPr>
  </w:style>
  <w:style w:type="paragraph" w:styleId="List2">
    <w:name w:val="List 2"/>
    <w:basedOn w:val="Normal"/>
    <w:uiPriority w:val="99"/>
    <w:unhideWhenUsed/>
    <w:rsid w:val="00326F90"/>
    <w:pPr>
      <w:ind w:left="720" w:hanging="360"/>
      <w:contextualSpacing/>
    </w:pPr>
    <w:rPr>
      <w:rFonts w:ascii="Hiragino Sans GB" w:hAnsi="Hiragino Sans GB" w:eastAsia="Hiragino Sans GB"/>
    </w:rPr>
  </w:style>
  <w:style w:type="paragraph" w:styleId="List3">
    <w:name w:val="List 3"/>
    <w:basedOn w:val="Normal"/>
    <w:uiPriority w:val="99"/>
    <w:unhideWhenUsed/>
    <w:rsid w:val="00326F90"/>
    <w:pPr>
      <w:ind w:left="1080" w:hanging="360"/>
      <w:contextualSpacing/>
    </w:pPr>
    <w:rPr>
      <w:rFonts w:ascii="Hiragino Sans GB" w:hAnsi="Hiragino Sans GB" w:eastAsia="Hiragino Sans GB"/>
    </w:r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rPr>
  </w:style>
  <w:style w:type="paragraph" w:styleId="ListBullet2">
    <w:name w:val="List Bullet 2"/>
    <w:basedOn w:val="Normal"/>
    <w:uiPriority w:val="99"/>
    <w:unhideWhenUsed/>
    <w:rsid w:val="00326F90"/>
    <w:pPr>
      <w:numPr>
        <w:numId w:val="2"/>
      </w:numPr>
      <w:contextualSpacing/>
    </w:pPr>
    <w:rPr>
      <w:rFonts w:ascii="Hiragino Sans GB" w:hAnsi="Hiragino Sans GB" w:eastAsia="Hiragino Sans GB"/>
    </w:rPr>
  </w:style>
  <w:style w:type="paragraph" w:styleId="ListBullet3">
    <w:name w:val="List Bullet 3"/>
    <w:basedOn w:val="Normal"/>
    <w:uiPriority w:val="99"/>
    <w:unhideWhenUsed/>
    <w:rsid w:val="00326F90"/>
    <w:pPr>
      <w:numPr>
        <w:numId w:val="3"/>
      </w:numPr>
      <w:contextualSpacing/>
    </w:pPr>
    <w:rPr>
      <w:rFonts w:ascii="Hiragino Sans GB" w:hAnsi="Hiragino Sans GB" w:eastAsia="Hiragino Sans GB"/>
    </w:rPr>
  </w:style>
  <w:style w:type="paragraph" w:styleId="ListNumber">
    <w:name w:val="List Number"/>
    <w:basedOn w:val="Normal"/>
    <w:uiPriority w:val="99"/>
    <w:unhideWhenUsed/>
    <w:rsid w:val="00326F90"/>
    <w:pPr>
      <w:numPr>
        <w:numId w:val="5"/>
      </w:numPr>
      <w:contextualSpacing/>
    </w:pPr>
    <w:rPr>
      <w:rFonts w:ascii="Hiragino Sans GB" w:hAnsi="Hiragino Sans GB" w:eastAsia="Hiragino Sans GB"/>
    </w:rPr>
  </w:style>
  <w:style w:type="paragraph" w:styleId="ListNumber2">
    <w:name w:val="List Number 2"/>
    <w:basedOn w:val="Normal"/>
    <w:uiPriority w:val="99"/>
    <w:unhideWhenUsed/>
    <w:rsid w:val="0029639D"/>
    <w:pPr>
      <w:numPr>
        <w:numId w:val="6"/>
      </w:numPr>
      <w:contextualSpacing/>
    </w:pPr>
    <w:rPr>
      <w:rFonts w:ascii="Hiragino Sans GB" w:hAnsi="Hiragino Sans GB" w:eastAsia="Hiragino Sans GB"/>
    </w:rPr>
  </w:style>
  <w:style w:type="paragraph" w:styleId="ListNumber3">
    <w:name w:val="List Number 3"/>
    <w:basedOn w:val="Normal"/>
    <w:uiPriority w:val="99"/>
    <w:unhideWhenUsed/>
    <w:rsid w:val="0029639D"/>
    <w:pPr>
      <w:numPr>
        <w:numId w:val="7"/>
      </w:numPr>
      <w:contextualSpacing/>
    </w:pPr>
    <w:rPr>
      <w:rFonts w:ascii="Hiragino Sans GB" w:hAnsi="Hiragino Sans GB" w:eastAsia="Hiragino Sans GB"/>
    </w:rPr>
  </w:style>
  <w:style w:type="paragraph" w:styleId="ListContinue">
    <w:name w:val="List Continue"/>
    <w:basedOn w:val="Normal"/>
    <w:uiPriority w:val="99"/>
    <w:unhideWhenUsed/>
    <w:rsid w:val="0029639D"/>
    <w:pPr>
      <w:spacing w:after="120"/>
      <w:ind w:left="360"/>
      <w:contextualSpacing/>
    </w:pPr>
    <w:rPr>
      <w:rFonts w:ascii="Hiragino Sans GB" w:hAnsi="Hiragino Sans GB" w:eastAsia="Hiragino Sans GB"/>
    </w:rPr>
  </w:style>
  <w:style w:type="paragraph" w:styleId="ListContinue2">
    <w:name w:val="List Continue 2"/>
    <w:basedOn w:val="Normal"/>
    <w:uiPriority w:val="99"/>
    <w:unhideWhenUsed/>
    <w:rsid w:val="0029639D"/>
    <w:pPr>
      <w:spacing w:after="120"/>
      <w:ind w:left="720"/>
      <w:contextualSpacing/>
    </w:pPr>
    <w:rPr>
      <w:rFonts w:ascii="Hiragino Sans GB" w:hAnsi="Hiragino Sans GB" w:eastAsia="Hiragino Sans GB"/>
    </w:rPr>
  </w:style>
  <w:style w:type="paragraph" w:styleId="ListContinue3">
    <w:name w:val="List Continue 3"/>
    <w:basedOn w:val="Normal"/>
    <w:uiPriority w:val="99"/>
    <w:unhideWhenUsed/>
    <w:rsid w:val="0029639D"/>
    <w:pPr>
      <w:spacing w:after="120"/>
      <w:ind w:left="1080"/>
      <w:contextualSpacing/>
    </w:pPr>
    <w:rPr>
      <w:rFonts w:ascii="Hiragino Sans GB" w:hAnsi="Hiragino Sans GB"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sz w:val="20"/>
      <w:szCs w:val="20"/>
    </w:rPr>
  </w:style>
  <w:style w:type="paragraph" w:styleId="Quote">
    <w:name w:val="Quote"/>
    <w:basedOn w:val="Normal"/>
    <w:next w:val="Normal"/>
    <w:link w:val="QuoteChar"/>
    <w:uiPriority w:val="29"/>
    <w:qFormat/>
    <w:rsid w:val="00FC693F"/>
    <w:rPr>
      <w:rFonts w:ascii="Hiragino Sans GB" w:hAnsi="Hiragino Sans GB" w:eastAsia="Hiragino Sans GB"/>
      <w:i/>
      <w:iCs/>
      <w:color w:val="000000" w:themeColor="text1"/>
    </w:rPr>
  </w:style>
  <w:style w:type="character" w:customStyle="1" w:styleId="QuoteChar">
    <w:name w:val="Quote Char"/>
    <w:basedOn w:val="DefaultParagraphFont"/>
    <w:link w:val="Quote"/>
    <w:uiPriority w:val="29"/>
    <w:rsid w:val="00FC693F"/>
    <w:rPr>
      <w:rFonts w:ascii="Hiragino Sans GB" w:hAnsi="Hiragino Sans GB"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GB" w:hAnsi="Hiragino Sans GB"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GB" w:hAnsi="Hiragino Sans GB"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GB" w:hAnsi="Hiragino Sans GB"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GB" w:hAnsi="Hiragino Sans GB"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GB" w:hAnsi="Hiragino Sans GB"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GB" w:hAnsi="Hiragino Sans GB"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b/>
      <w:bCs/>
      <w:color w:val="4F81BD" w:themeColor="accent1"/>
      <w:sz w:val="18"/>
      <w:szCs w:val="18"/>
    </w:rPr>
  </w:style>
  <w:style w:type="character" w:styleId="Strong">
    <w:name w:val="Strong"/>
    <w:basedOn w:val="DefaultParagraphFont"/>
    <w:uiPriority w:val="22"/>
    <w:qFormat/>
    <w:rsid w:val="00FC693F"/>
    <w:rPr>
      <w:rFonts w:ascii="Hiragino Sans GB" w:hAnsi="Hiragino Sans GB" w:eastAsia="Hiragino Sans GB"/>
      <w:b/>
      <w:bCs/>
    </w:rPr>
  </w:style>
  <w:style w:type="character" w:styleId="Emphasis">
    <w:name w:val="Emphasis"/>
    <w:basedOn w:val="DefaultParagraphFont"/>
    <w:uiPriority w:val="20"/>
    <w:qFormat/>
    <w:rsid w:val="00FC693F"/>
    <w:rPr>
      <w:rFonts w:ascii="Hiragino Sans GB" w:hAnsi="Hiragino Sans GB" w:eastAsia="Hiragino Sans GB"/>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Hiragino Sans GB" w:hAnsi="Hiragino Sans GB"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GB" w:hAnsi="Hiragino Sans GB" w:eastAsia="Hiragino Sans GB"/>
      <w:b/>
      <w:bCs/>
      <w:i/>
      <w:iCs/>
      <w:color w:val="4F81BD" w:themeColor="accent1"/>
    </w:rPr>
  </w:style>
  <w:style w:type="character" w:styleId="SubtleEmphasis">
    <w:name w:val="Subtle Emphasis"/>
    <w:basedOn w:val="DefaultParagraphFont"/>
    <w:uiPriority w:val="19"/>
    <w:qFormat/>
    <w:rsid w:val="00FC693F"/>
    <w:rPr>
      <w:rFonts w:ascii="Hiragino Sans GB" w:hAnsi="Hiragino Sans GB"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GB" w:hAnsi="Hiragino Sans GB" w:eastAsia="Hiragino Sans GB"/>
      <w:b/>
      <w:bCs/>
      <w:i/>
      <w:iCs/>
      <w:color w:val="4F81BD" w:themeColor="accent1"/>
    </w:rPr>
  </w:style>
  <w:style w:type="character" w:styleId="SubtleReference">
    <w:name w:val="Subtle Reference"/>
    <w:basedOn w:val="DefaultParagraphFont"/>
    <w:uiPriority w:val="31"/>
    <w:qFormat/>
    <w:rsid w:val="00FC693F"/>
    <w:rPr>
      <w:rFonts w:ascii="Hiragino Sans GB" w:hAnsi="Hiragino Sans GB"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GB" w:hAnsi="Hiragino Sans GB"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GB" w:hAnsi="Hiragino Sans GB"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GB" w:hAnsi="Hiragino Sans GB" w:eastAsia="Hiragino Sans GB"/>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邀请返佣与等级体系需求文档</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