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6"/>
          <w:szCs w:val="56"/>
        </w:rPr>
        <w:t xml:space="preserve">明策运营后台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5BFF"/>
          <w:sz w:val="44"/>
          <w:szCs w:val="44"/>
        </w:rPr>
        <w:t xml:space="preserve">操 作 手 册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链上资产 · 邀请返佣 · 运营管理平台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文档版本：V1.0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编制日期：2026 年 10 月 19 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适用对象：平台运营、财务、客服及系统管理员</w:t>
      </w:r>
    </w:p>
    <w:p>
      <w:r>
        <w:br w:type="page"/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 录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1. 系统概述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1.1 功能模块总览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1.2 安全要求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2. 登录与全局界面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2.1 登录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2.2 全局界面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3. 仪表盘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3.1 统计卡片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3.2 图表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4. 用户管理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4.1 查询用户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4.2 用户档案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4.3 冻结 / 解冻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4.4 余额调整（调账）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4.5 更多操作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5. 资金管理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5.1 充值记录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5.2 充值地址池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5.3 资金归集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5.4 提现审核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6. 运营管理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6.1 产品管理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6.2 购买订单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6.3 举报管理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7. 系统管理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7.1 管理员管理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7.2 角色权限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7.3 协议管理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7.4 功能开关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7.5 参数配置</w:t>
      </w:r>
    </w:p>
    <w:p>
      <w:pPr>
        <w:spacing w:after="100" w:before="160" w:line="3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8. 附录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8.1 内置角色权限对照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8.2 操作权限一览</w:t>
      </w:r>
    </w:p>
    <w:p>
      <w:pPr>
        <w:spacing w:after="60" w:line="300"/>
        <w:ind w:left="48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8.3 常见问题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1. 系统概述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明策运营后台是平台的统一管理端，覆盖用户、资金、运营、系统四大管理域。后台账号体系与 App 注册用户完全隔离，采用「角色 + 权限」的访问控制：页面权限控制菜单可见性，操作权限控制按钮可用性；未授权的菜单与按钮自动隐藏。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1.1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模块分组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包含页面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主要用途</w:t>
            </w:r>
          </w:p>
        </w:tc>
      </w:tr>
      <w:tr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概览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仪表盘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运营核心指标、趋势图表实时监控</w:t>
            </w:r>
          </w:p>
        </w:tc>
      </w:tr>
      <w:tr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用户查询、档案、冻结、调账、改绑、删除</w:t>
            </w:r>
          </w:p>
        </w:tc>
      </w:tr>
      <w:tr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资金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充值记录 / 充值地址池 / 资金归集 / 提现审核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链上充值监控、地址池维护、资金归集、提现打款审核</w:t>
            </w:r>
          </w:p>
        </w:tc>
      </w:tr>
      <w:tr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运营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产品管理 / 购买订单 / 举报管理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理财产品上下架、订单与佣金查看、用户举报处理</w:t>
            </w:r>
          </w:p>
        </w:tc>
      </w:tr>
      <w:tr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管理员管理 / 角色权限 / 协议管理 / 功能开关 / 参数配置</w:t>
            </w:r>
          </w:p>
        </w:tc>
        <w:tc>
          <w:tcPr>
            <w:tcW w:type="dxa" w:w="3413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账号与权限治理、法务文档发布、运行参数热更新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1.2 安全要求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除内置 admin 外，所有管理员必须绑定谷歌验证器（TOTP）后才能登录后台。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登录页第三栏为谷歌验证码，已绑定验证器的管理员登录时必填。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调账、删除、归集等敏感操作均记入审计日志，操作人可追溯。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2. 登录与全局界面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2.1 登录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打开后台地址，进入登录页。输入用户名、密码；已绑定谷歌验证器的账号还需填写当前 6 位动态码，点击「登录」。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0_login.png" descr="图 2-1  登录页" title="图 2-1  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2-1  登录页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首次登录且未绑定谷歌验证的账号，系统将强制跳转至绑定页：用 Google Authenticator（或任意 TOTP 应用）扫码或手动输入密钥，再输入 App 显示的 6 位动态码完成绑定。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登录失败、验证码错误会以红色气泡提示具体原因。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2.2 全局界面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登录后进入主界面。左侧为功能菜单（按「概览 / 用户 / 资金 / 运营 / 系统」五组归类，无权限的菜单自动隐藏）；顶部为面包屑与工具区。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顶栏搜索框输入功能名称，回车直达对应页面。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全局搜索：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有待审核提现时亮红点，点击直达提现审核页。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通知铃铛：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太阳/月亮图标切换明暗主题，偏好自动记忆。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主题切换：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显示用户名与角色标签，下拉菜单可退出登录。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账号区：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3. 仪表盘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仪表盘是运营概况看板，实时统计系统用户、资金流转与订单动态。页头固定显示结算通证说明（USDT，TRC20/ERC20），右上角「刷新数据」可随时拉取最新统计。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1_dashboard.png" descr="图 3-1  仪表盘" title="图 3-1  仪表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3-1  仪表盘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3.1 统计卡片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卡片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总用户数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累计注册用户，附周环比（近 7 天新增 vs 前 7 天）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今日新增用户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当日注册数，附与昨日对比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今日入账 (USDT)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当日链上充值入账合计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累计入账 (USDT)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历史总链上充值汇总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待审核提现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待办审核笔数；有待办时红色警示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订单总额 (USDT)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全部产品订单金额合计（核心营运指标）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在售产品</w:t>
            </w:r>
          </w:p>
        </w:tc>
        <w:tc>
          <w:tcPr>
            <w:tcW w:type="dxa" w:w="64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当前上架销售中的产品数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3.2 图表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新增用户与入账 USDT 双轴折线。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近 14 天趋势：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每日下单金额柱状图。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近 14 天订单金额：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TRC20 / ERC20 / BEP20 / Arbitrum 环形占比。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入账网络分布：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待审核 / 已打款 / 已拒绝环形占比。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提现状态分布：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4. 用户管理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用于用户查询、档案调阅、冻结/解冻、余额调整及账号维护。页头显示用户总数与冻结数。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2_users.png" descr="图 4-1  用户管理列表" title="图 4-1  用户管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4-1  用户管理列表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4.1 查询用户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在搜索框输入用户名或邮箱关键字，回车或点「搜索」；「重置」清空条件。列表展示状态、VIP/团队等级、本金余额、收益余额、处理中金额与注册时间。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4.2 用户档案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点击行内「档案」，右侧滑出该用户的全量只读档案：基本信息（邀请码、上级、VIP/持仓、团队）、以及订单、充值、收益结算、佣金、提现、资金明细、等级变动七个标签页。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d_user_profile.png" descr="图 4-2  用户全量档案（只读）" title="图 4-2  用户全量档案（只读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4-2  用户全量档案（只读）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4.3 冻结 / 解冻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点击「冻结」并二次确认后，该用户立即无法登录与交易；已冻结用户按钮变为「解冻」，操作后恢复正常。需要权限「用户管理 · 冻结/解冻」。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4.4 余额调整（调账）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点击「调账」，在弹窗中选择账户（本金 / 收益）、填写金额（正数=加，负数=减，不能为 0）与调整原因（必填，记入审计日志），提交前需二次确认金额与账户。需要权限「用户管理 · 余额调整」。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d_user_adjust.png" descr="图 4-3  余额调整弹窗" title="图 4-3  余额调整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4-3  余额调整弹窗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4.5 更多操作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「更多」下拉菜单提供：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为用户设置新密码（至少 6 位）。需要权限「用户管理 · 重置密码」。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重置密码：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修改邮箱，或填写新上级邀请码改绑推荐关系（留空不改）。需要权限「用户管理 · 改绑邮箱/上级」。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改绑邮箱/上级：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仅当本金/收益余额与处理中金额全为 0 时出现；物理删除不可恢复，服务端二次校验。需要权限「用户管理 · 删除空账户」。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删除空账户：</w:t>
      </w:r>
    </w:p>
    <w:p>
      <w:pPr>
        <w:pBdr>
          <w:left w:val="single" w:color="F0A020" w:sz="18"/>
        </w:pBdr>
        <w:shd w:fill="FFF7E8" w:val="clear"/>
        <w:spacing w:after="160" w:line="300"/>
        <w:ind w:left="160"/>
      </w:pPr>
      <w:r>
        <w:rPr>
          <w:rFonts w:ascii="Microsoft YaHei" w:cs="Microsoft YaHei" w:eastAsia="Microsoft YaHei" w:hAnsi="Microsoft YaHei"/>
          <w:b/>
          <w:bCs/>
          <w:color w:val="B45309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color w:val="B45309"/>
          <w:sz w:val="21"/>
          <w:szCs w:val="21"/>
        </w:rPr>
        <w:t xml:space="preserve">调账必须填写原因并记入审计日志；仅空账户可删除。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5. 资金管理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5.1 充值记录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链上充值入账监控页（只读）。顶部五张概览卡：今日入账、确认中笔数、异常待处理、地址池空闲、地址池已分配；页头常驻「链上监控运行中」，有异常时红点亮出「异常 N 笔」。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3_deposit_records.png" descr="图 5-1  充值记录" title="图 5-1  充值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5-1  充值记录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可按状态（确认中 / 已入账 / 异常待处理）、网络（TRC20）、用户名组合查询；表格展示充值地址、txid、金额、区块确认数进度（当前/所需）、区块时间与入账时间，支持 20/50/100 条分页。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5.2 充值地址池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维护充值地址池水位。可按网络（TRC20 / ERC20 / BEP20 / Arbitrum）与状态（空闲 / 已分配）筛选，查看每个地址的分配用户与分配时间。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4_deposit_addresses.png" descr="图 5-2  充值地址池" title="图 5-2  充值地址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5-2  充值地址池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生成地址：在右上角选择网络、填写数量（1~200），点击「生成地址」，成功后提示已生成数量。需要权限「充值地址池 · 生成地址」。</w:t>
      </w:r>
    </w:p>
    <w:p>
      <w:pPr>
        <w:pBdr>
          <w:left w:val="single" w:color="F0A020" w:sz="18"/>
        </w:pBdr>
        <w:shd w:fill="FFF7E8" w:val="clear"/>
        <w:spacing w:after="160" w:line="300"/>
        <w:ind w:left="160"/>
      </w:pPr>
      <w:r>
        <w:rPr>
          <w:rFonts w:ascii="Microsoft YaHei" w:cs="Microsoft YaHei" w:eastAsia="Microsoft YaHei" w:hAnsi="Microsoft YaHei"/>
          <w:b/>
          <w:bCs/>
          <w:color w:val="B45309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color w:val="B45309"/>
          <w:sz w:val="21"/>
          <w:szCs w:val="21"/>
        </w:rPr>
        <w:t xml:space="preserve">地址池水位不足时用户充值会分配失败，请保持空闲地址充足；生成地址仅补充所选网络。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5.3 资金归集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将分散在用户充值子地址中的 USDT 归拢到平台主钱包。页面分三区：主钱包设置卡（每条链一张）、地址余额表、归集记录。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5_sweep.png" descr="图 5-3  资金归集" title="图 5-3  资金归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5-3  资金归集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5.3.1 配置主钱包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支持 TRC20 / ERC20 / BEP20 / Arbitrum 四条网络。未配置的卡片显示「待设置主钱包」，点击「立即配置主钱包」（或已配置卡的「设置 / 修改」），在弹窗中填写主钱包归集地址与归集阈值（地址余额达到该值才归集，默认 500 USDT）。卡片同时展示主钱包 USDT 余额与 Gas 储备池状态（充足/不足），并提供区块链浏览器跳转。需要权限「资金归集 · 设置主钱包/阈值」。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5.3.2 执行归集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二次确认后归集当前网络所有达阈值地址；缺 Gas 的地址自动跳过并标记，结束后提示「成功 / 缺gas / 失败 / 跳过」数量。需要权限「资金归集 · 执行归集」。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一键归集达阈值地址：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行内「归集」按钮单独归集该地址；低于阈值的行显示「强制归集」。缺 Gas 时提示先手动补 Gas。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单个归集：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可归集（绿色）、等待补 Gas（黄色）、低于阈值（灰色），按余额与 Gas 自动判定。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归集状态：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5.3.3 归集记录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实时跟踪链上打包状态，可按全部 / 已成功 / 缺 Gas / 失败筛选；展示来源地址、主钱包、金额、状态、TXID（或错误信息）、操作人与时间。「导出记录」可将当前筛选结果导出为 CSV 文件。</w:t>
      </w:r>
    </w:p>
    <w:p>
      <w:pPr>
        <w:pBdr>
          <w:left w:val="single" w:color="F0A020" w:sz="18"/>
        </w:pBdr>
        <w:shd w:fill="FFF7E8" w:val="clear"/>
        <w:spacing w:after="160" w:line="300"/>
        <w:ind w:left="160"/>
      </w:pPr>
      <w:r>
        <w:rPr>
          <w:rFonts w:ascii="Microsoft YaHei" w:cs="Microsoft YaHei" w:eastAsia="Microsoft YaHei" w:hAnsi="Microsoft YaHei"/>
          <w:b/>
          <w:bCs/>
          <w:color w:val="B45309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color w:val="B45309"/>
          <w:sz w:val="21"/>
          <w:szCs w:val="21"/>
        </w:rPr>
        <w:t xml:space="preserve">只显示有余额的地址；缺 Gas 的地址需手动补 Gas 后再单独或批量归集。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5.4 提现审核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处理用户提现申请，默认展示「待审核」队列（页头显示待办笔数），可切换已打款 / 已拒绝 / 全部。列表展示申请人与时间、账户类型（本金/收益）、金额与费用（服务费、网络费）、实际到账、网络、提现地址与状态。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6_withdrawal.png" descr="图 5-4  提现审核" title="图 5-4  提现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5-4  提现审核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弹窗确认金额，可填写打款交易号 txid（可选，允许稍后补录），确认后状态变为「已打款」。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通过：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弹窗填写拒绝原因，确认后金额与费用全额退回用户账户，状态变为「已拒绝」。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拒绝：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两个操作均需权限「提现审核 · 审核通过/拒绝」；已处理记录显示「已结案」，不可重复操作。</w:t>
      </w:r>
    </w:p>
    <w:p>
      <w:pPr>
        <w:pBdr>
          <w:left w:val="single" w:color="F0A020" w:sz="18"/>
        </w:pBdr>
        <w:shd w:fill="FFF7E8" w:val="clear"/>
        <w:spacing w:after="160" w:line="300"/>
        <w:ind w:left="160"/>
      </w:pPr>
      <w:r>
        <w:rPr>
          <w:rFonts w:ascii="Microsoft YaHei" w:cs="Microsoft YaHei" w:eastAsia="Microsoft YaHei" w:hAnsi="Microsoft YaHei"/>
          <w:b/>
          <w:bCs/>
          <w:color w:val="B45309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color w:val="B45309"/>
          <w:sz w:val="21"/>
          <w:szCs w:val="21"/>
        </w:rPr>
        <w:t xml:space="preserve">通过后请尽快链上打款并补录 TXID；拒绝会将金额与费用全额退回用户账户。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6. 运营管理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6.1 产品管理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理财产品的配置与上下架管理。页头显示在售数与总数，可按全部 / 已上架 / 草稿 / 已下架筛选。列表展示产品名称与额度区间、基础日收益率、周期与返还方式、VIP 门槛、团队门槛与状态。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7_product.png" descr="图 6-1  产品管理" title="图 6-1  产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6-1  产品管理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6.1.1 新建 / 编辑产品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点击「新建产品」，在弹窗中填写：产品名称（必填）、描述、基础日收益率（小数，如 0.02 = 2%/日）、周期天数（1~3650）、返还方式（每满24小时 / 每隔7天 / 每隔30天 / 到期一次性 / 每小时测试）、最低与最高购买金额、个人 VIP 门槛（0~10，留空不限）、团队等级门槛（0~10，留空不限）。保存后产品为「草稿」状态，上架后 APP 才可见。已上架产品不可编辑。需要权限「产品管理 · 新建/编辑/上下架」。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d_product_new.png" descr="图 6-2  新建产品弹窗" title="图 6-2  新建产品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6-2  新建产品弹窗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6.1.2 上架 / 下架 / 删除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确认后执行完整参数校验，校验通过即上架、APP 可见可购。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上架：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下架后 APP 不可再购买，存量订单继续正常结算。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下架：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物理删除不可恢复；已上架产品删除后立即从 APP 消失，存量订单按购买时快照继续结算。有订单的产品不可删除。需要权限「产品管理 · 删除产品」。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删除：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6.2 购买订单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申购订单的只读视图，支持按用户名与状态（生效中 / 已完成）查询。列表展示产品、金额、日化率（含锁定加成时标注「基础+加成」）、周期/返还、结算进度（已结/总期）、已产生收益、已返本金、佣金支出与购买时间。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8_order.png" descr="图 6-3  购买订单" title="图 6-3  购买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6-3  购买订单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点击「收益明细」弹窗查看该订单的逐期结算表（期数、收益、返本、应结算时点、实际入账）与触发的佣金支出表（接收人及代数、比例、佣金基数、佣金、入账时间）。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6.3 举报管理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处理 App 内用户举报。可按全部 / 待处理 / 已处理 / 已驳回筛选；列表展示举报双方、举报原因（垃圾信息 / 辱骂骚扰 / 诈骗 / 色情内容 / 其他）、类型（评论 / 消息 / 用户）、相关内容与补充说明。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9_reports.png" descr="图 6-4  举报管理" title="图 6-4  举报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6-4  举报管理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立即移除违规内容（针对内容类举报）。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删评论 / 删消息：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封禁被举报用户，封号后无法登录。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封号：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举报不成立，直接结案。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驳回：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以上操作均需权限「举报管理 · 处理举报」，处理后显示「已结案」。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7. 系统管理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7.1 管理员管理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管理后台账号（与 App 用户完全隔离）。列表展示角色、谷歌验证绑定状态、账号状态与创建时间；页头对未绑谷歌验证的人数给出警示。全部操作需权限「管理员管理 · 绑定/改角色/移除」。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10_admins.png" descr="图 7-1  管理员管理" title="图 7-1  管理员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7-1  管理员管理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7.1.1 新建管理员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点击「新建管理员」，填写用户名（至少 3 位，字母/数字/下划线）、初始密码（至少 8 位）并选择角色。创建后请立即在列表中点「绑定验证」为其完成谷歌验证绑定——未绑定无法登录。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d_admin_new.png" descr="图 7-2  新建管理员弹窗" title="图 7-2  新建管理员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7-2  新建管理员弹窗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7.1.2 账号维护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绑定弹窗展示二维码与手动密钥，输入验证器 6 位动态码确认；已绑定账号可「重置验证」，重置后下次登录需重新绑定。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绑定验证 / 重置验证：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设置新密码（至少 8 位）。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重置密码：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变更该管理员的角色，权限随角色即时调整。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改角色：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禁用后该账号无法登录后台；不能禁用自己。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禁用 / 启用：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删除后无法登录后台；不能删除自己。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删除：</w:t>
      </w:r>
    </w:p>
    <w:p>
      <w:pPr>
        <w:pBdr>
          <w:left w:val="single" w:color="F0A020" w:sz="18"/>
        </w:pBdr>
        <w:shd w:fill="FFF7E8" w:val="clear"/>
        <w:spacing w:after="160" w:line="300"/>
        <w:ind w:left="160"/>
      </w:pPr>
      <w:r>
        <w:rPr>
          <w:rFonts w:ascii="Microsoft YaHei" w:cs="Microsoft YaHei" w:eastAsia="Microsoft YaHei" w:hAnsi="Microsoft YaHei"/>
          <w:b/>
          <w:bCs/>
          <w:color w:val="B45309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color w:val="B45309"/>
          <w:sz w:val="21"/>
          <w:szCs w:val="21"/>
        </w:rPr>
        <w:t xml:space="preserve">内置 admin 账号不可改角色、禁用、删除，也无需绑定谷歌验证。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7.2 角色权限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定义角色并分配权限。列表展示每个角色的权限集合；超级管理员拥有「全部权限」。操作需权限「角色权限 · 新建/编辑/删除」。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11_roles.png" descr="图 7-3  角色权限" title="图 7-3  角色权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7-3  角色权限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点击「新建角色」，填写角色名并在权限树中勾选页面权限与按钮权限（父节点支持半选）；「编辑」可回显并调整既有角色的权限；「删除」移除角色。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d_role_new.png" descr="图 7-4  新建角色弹窗" title="图 7-4  新建角色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7-4  新建角色弹窗</w:t>
      </w:r>
    </w:p>
    <w:p>
      <w:pPr>
        <w:pBdr>
          <w:left w:val="single" w:color="F0A020" w:sz="18"/>
        </w:pBdr>
        <w:shd w:fill="FFF7E8" w:val="clear"/>
        <w:spacing w:after="160" w:line="300"/>
        <w:ind w:left="160"/>
      </w:pPr>
      <w:r>
        <w:rPr>
          <w:rFonts w:ascii="Microsoft YaHei" w:cs="Microsoft YaHei" w:eastAsia="Microsoft YaHei" w:hAnsi="Microsoft YaHei"/>
          <w:b/>
          <w:bCs/>
          <w:color w:val="B45309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color w:val="B45309"/>
          <w:sz w:val="21"/>
          <w:szCs w:val="21"/>
        </w:rPr>
        <w:t xml:space="preserve">内置「超级管理员」角色不可编辑/删除；删除角色前请确认无管理员仍绑定该角色。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7.3 协议管理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维护「隐私政策」与「用户协议」两份公开法务文档。支持富文本与 HTML 源码两种编辑模式；点击「保存发布」即时生效。公开访问地址为 /api/legal/privacy 与 /api/legal/terms（无需登录，正文自动套用带暗色适配的标准页面外壳）。需要权限「协议管理 · 编辑协议」。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12_legal.png" descr="图 7-5  协议管理" title="图 7-5  协议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7-5  协议管理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7.4 功能开关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控制 App 端功能入口的运行时开关，拨动即保存、即时生效，页头显示「开启 N / 共 M 项」。需要权限「功能开关 · 修改开关」。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13_features.png" descr="图 7-6  功能开关" title="图 7-6  功能开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7-6  功能开关</w:t>
      </w:r>
    </w:p>
    <w:p>
      <w:pPr>
        <w:pBdr>
          <w:left w:val="single" w:color="F0A020" w:sz="18"/>
        </w:pBdr>
        <w:shd w:fill="FFF7E8" w:val="clear"/>
        <w:spacing w:after="160" w:line="300"/>
        <w:ind w:left="160"/>
      </w:pPr>
      <w:r>
        <w:rPr>
          <w:rFonts w:ascii="Microsoft YaHei" w:cs="Microsoft YaHei" w:eastAsia="Microsoft YaHei" w:hAnsi="Microsoft YaHei"/>
          <w:b/>
          <w:bCs/>
          <w:color w:val="B45309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color w:val="B45309"/>
          <w:sz w:val="21"/>
          <w:szCs w:val="21"/>
        </w:rPr>
        <w:t xml:space="preserve">充值/提现涉及资金合规资质，开启前请确认已取得相应资质；未开启时 App 内隐藏对应入口。标记「编译期控制」的开关（充值/理财显隐）已改为编译期常量，此处切换不生效。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7.5 参数配置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运行参数热更新，按「收益转本金 / 提现 / 限流」三组展示。每项参数标注说明、允许范围与默认值；被后台覆盖的参数标「改」字标签。需要权限「参数配置 · 保存参数」。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14_config.png" descr="图 7-7  参数配置" title="图 7-7  参数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7-7  参数配置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直接在输入框编辑，改动过的输入框高亮，「保存修改」按钮显示待存项数。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修改参数：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弹出「名称：旧值 → 新值」确认清单，确认后立即生效，无需重启。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保存：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放弃全部未保存的编辑，重新拉取当前生效值。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还原修改：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8. 附录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8.1 内置角色权限对照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系统预置四个角色。超级管理员不可编辑/删除；其余角色可在「角色权限」页调整或删除（删除前需确认无管理员绑定）。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52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拥有权限</w:t>
            </w:r>
          </w:p>
        </w:tc>
      </w:tr>
      <w:tr>
        <w:tc>
          <w:tcPr>
            <w:tcW w:type="dxa" w:w="1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52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全部权限（含删除空账户、删除产品、参数配置、角色与管理员治理等高危操作）</w:t>
            </w:r>
          </w:p>
        </w:tc>
      </w:tr>
      <w:tr>
        <w:tc>
          <w:tcPr>
            <w:tcW w:type="dxa" w:w="1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运营</w:t>
            </w:r>
          </w:p>
        </w:tc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日常运营</w:t>
            </w:r>
          </w:p>
        </w:tc>
        <w:tc>
          <w:tcPr>
            <w:tcW w:type="dxa" w:w="52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仪表盘；用户管理（冻结/解冻、余额调整、重置密码、改绑邮箱/上级）；产品管理（新建/编辑/上下架）；购买订单</w:t>
            </w:r>
          </w:p>
        </w:tc>
      </w:tr>
      <w:tr>
        <w:tc>
          <w:tcPr>
            <w:tcW w:type="dxa" w:w="1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财务</w:t>
            </w:r>
          </w:p>
        </w:tc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资金结算</w:t>
            </w:r>
          </w:p>
        </w:tc>
        <w:tc>
          <w:tcPr>
            <w:tcW w:type="dxa" w:w="52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仪表盘；充值记录；充值地址池（生成地址）；资金归集（执行归集）；提现审核（审核通过/拒绝）；购买订单；参数配置（仅查看）</w:t>
            </w:r>
          </w:p>
        </w:tc>
      </w:tr>
      <w:tr>
        <w:tc>
          <w:tcPr>
            <w:tcW w:type="dxa" w:w="1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客服</w:t>
            </w:r>
          </w:p>
        </w:tc>
        <w:tc>
          <w:tcPr>
            <w:tcW w:type="dxa" w:w="22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查询支持</w:t>
            </w:r>
          </w:p>
        </w:tc>
        <w:tc>
          <w:tcPr>
            <w:tcW w:type="dxa" w:w="52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仪表盘；用户管理（仅查看）；充值记录（仅查看）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8.2 操作权限一览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页面权限与页面同名（控制菜单可见性），下表列出各页面下的操作权限（控制按钮可用性）。无对应权限的账号看不到按钮，调用接口也会被服务端拒绝。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所属页面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权限名称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shd w:fill="2E5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对应操作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冻结/解冻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冻结或恢复用户账号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余额调整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人工调账（本金/收益，记审计日志）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重置密码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为用户设置新密码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改绑邮箱/上级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修改邮箱、改绑推荐上级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删除空账户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物理删除零余额账户（默认仅超管）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充值地址池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生成地址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批量生成充值地址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资金归集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设置主钱包/阈值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配置归集目标地址与触发阈值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资金归集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执行归集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单个/批量归集子地址资金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提现审核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审核通过/拒绝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提现打款通过或拒绝退款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新建/编辑/上下架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产品全生命周期管理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删除产品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物理删除产品（默认仅超管）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举报管理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处理举报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删内容、封号、驳回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管理员管理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绑定/改角色/移除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管理员账号全部维护操作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角色权限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新建/编辑/删除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角色定义与权限分配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协议管理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编辑协议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隐私政策/用户协议保存发布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功能开关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修改开关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App 功能入口开关切换</w:t>
            </w:r>
          </w:p>
        </w:tc>
      </w:tr>
      <w:tr>
        <w:tc>
          <w:tcPr>
            <w:tcW w:type="dxa" w:w="26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参数配置</w:t>
            </w:r>
          </w:p>
        </w:tc>
        <w:tc>
          <w:tcPr>
            <w:tcW w:type="dxa" w:w="3300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保存参数</w:t>
            </w:r>
          </w:p>
        </w:tc>
        <w:tc>
          <w:tcPr>
            <w:tcW w:type="dxa" w:w="3126"/>
            <w:tcBorders>
              <w:top w:val="single" w:color="C9D2E8" w:sz="4"/>
              <w:left w:val="single" w:color="C9D2E8" w:sz="4"/>
              <w:bottom w:val="single" w:color="C9D2E8" w:sz="4"/>
              <w:right w:val="single" w:color="C9D2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运行参数热更新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5BFF"/>
          <w:sz w:val="28"/>
          <w:szCs w:val="28"/>
        </w:rPr>
        <w:t xml:space="preserve">8.3 常见问题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Q1：新管理员登录不上？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除 admin 外，管理员必须先绑定谷歌验证器才能登录。请超管在「管理员管理」中为其点「绑定验证」，扫码并完成动态码确认。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Q2：用户反馈充值没到账？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先在「充值记录」按用户名查询：确认中=等待区块确认数达标；异常待处理=金额或地址匹配异常，需技术核查；同时检查「充值地址池」空闲水位是否充足。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Q3：归集提示缺 Gas？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归集子地址需要原生币（TRX/ETH/BNB）支付矿工费。向缺 Gas 的地址手动转入少量对应原生币后，再执行单个或一键归集。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Q4：调账后用户说金额不对？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调账记录可在「用户管理 → 档案 → 资金明细」中核查（类型为「人工调整」），每次调账均带操作人与原因，便于对账追责。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明策运营后台 ·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5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44c0568f1a72220a97e7acede6a68309f51083.png"/><Relationship Id="rId10" Type="http://schemas.openxmlformats.org/officeDocument/2006/relationships/image" Target="media/0dcf03ff9c8667f28cf0803ab9906eecb6aa8f9b.png"/><Relationship Id="rId11" Type="http://schemas.openxmlformats.org/officeDocument/2006/relationships/image" Target="media/35a8991d0b480b151efe08f8ff2297d1096b4818.png"/><Relationship Id="rId12" Type="http://schemas.openxmlformats.org/officeDocument/2006/relationships/image" Target="media/8cace6a800fe5039cd493f9b9584ce4a56904948.png"/><Relationship Id="rId13" Type="http://schemas.openxmlformats.org/officeDocument/2006/relationships/image" Target="media/84ac931ecaaab1215af9b2f753b3ea6cbe9d2a44.png"/><Relationship Id="rId14" Type="http://schemas.openxmlformats.org/officeDocument/2006/relationships/image" Target="media/bfd703085faf1d3c9a99bdd89102142c0b99f517.png"/><Relationship Id="rId15" Type="http://schemas.openxmlformats.org/officeDocument/2006/relationships/image" Target="media/9638394cd44d8982f888878c641f3590e6dc76e2.png"/><Relationship Id="rId16" Type="http://schemas.openxmlformats.org/officeDocument/2006/relationships/image" Target="media/0627c94ba946c32df7b96da091197cc5315d7551.png"/><Relationship Id="rId17" Type="http://schemas.openxmlformats.org/officeDocument/2006/relationships/image" Target="media/ff165f9e7bb6b1ffd4c2f30b8af7a7860f9b7432.png"/><Relationship Id="rId18" Type="http://schemas.openxmlformats.org/officeDocument/2006/relationships/image" Target="media/20ac2b83ceca450c79baea95be4a4834362dc5d9.png"/><Relationship Id="rId19" Type="http://schemas.openxmlformats.org/officeDocument/2006/relationships/image" Target="media/1fc0129e2b8fa190f70c364d4ae82bb88e04c41f.png"/><Relationship Id="rId20" Type="http://schemas.openxmlformats.org/officeDocument/2006/relationships/image" Target="media/7f28a639c0f7311656e65b07f45185da3427a70b.png"/><Relationship Id="rId21" Type="http://schemas.openxmlformats.org/officeDocument/2006/relationships/image" Target="media/b291ce4f834a617e77161d2c0268db536b1b7cb4.png"/><Relationship Id="rId22" Type="http://schemas.openxmlformats.org/officeDocument/2006/relationships/image" Target="media/37a3d9e25e2d0e002747cd6afb53eefac84ea4c0.png"/><Relationship Id="rId23" Type="http://schemas.openxmlformats.org/officeDocument/2006/relationships/image" Target="media/99a663ebb9271369f189a5c80010387d9711de25.png"/><Relationship Id="rId24" Type="http://schemas.openxmlformats.org/officeDocument/2006/relationships/image" Target="media/c82a1e94b4d66d1850f56a4fab6e433fa14e8f49.png"/><Relationship Id="rId25" Type="http://schemas.openxmlformats.org/officeDocument/2006/relationships/image" Target="media/36172cceb99ad51ab231dd76941c111902ff834f.png"/><Relationship Id="rId26" Type="http://schemas.openxmlformats.org/officeDocument/2006/relationships/image" Target="media/71d64b9a907fc63b09f4bb57d718d8fe334013d1.png"/><Relationship Id="rId27" Type="http://schemas.openxmlformats.org/officeDocument/2006/relationships/image" Target="media/c3379d507bc7668d23d8b8362df1f1e1c380585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明策运营后台操作手册</dc:title>
  <dc:creator>MINGCE Ops</dc:creator>
  <cp:lastModifiedBy>Un-named</cp:lastModifiedBy>
  <cp:revision>1</cp:revision>
  <dcterms:created xsi:type="dcterms:W3CDTF">2026-10-19T09:24:04.707Z</dcterms:created>
  <dcterms:modified xsi:type="dcterms:W3CDTF">2026-10-19T09:24:04.707Z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