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b/>
          <w:i w:val="0"/>
          <w:color w:val="1F4E79"/>
          <w:sz w:val="28"/>
        </w:rPr>
        <w:t>UNIVERSIDAD PRIVADA DE TACNA</w:t>
      </w:r>
    </w:p>
    <w:p>
      <w:pPr>
        <w:spacing w:after="0" w:line="276" w:lineRule="auto"/>
        <w:jc w:val="center"/>
      </w:pPr>
      <w:r>
        <w:rPr>
          <w:b/>
          <w:i w:val="0"/>
          <w:color w:val="1F4E79"/>
          <w:sz w:val="28"/>
        </w:rPr>
        <w:t>FACULTAD DE INGENIERÍA</w:t>
      </w:r>
    </w:p>
    <w:p>
      <w:pPr>
        <w:spacing w:after="600" w:line="276" w:lineRule="auto"/>
        <w:jc w:val="center"/>
      </w:pPr>
      <w:r>
        <w:rPr>
          <w:b w:val="0"/>
          <w:i w:val="0"/>
          <w:color w:val="595959"/>
          <w:sz w:val="24"/>
        </w:rPr>
        <w:t>Escuela Profesional de Ingeniería de Sistemas</w:t>
      </w:r>
    </w:p>
    <w:p>
      <w:pPr>
        <w:spacing w:after="80" w:line="276" w:lineRule="auto"/>
        <w:jc w:val="center"/>
      </w:pPr>
      <w:r>
        <w:rPr>
          <w:b/>
          <w:i w:val="0"/>
          <w:sz w:val="26"/>
        </w:rPr>
        <w:t>Proyecto DespliegaUML</w:t>
      </w:r>
    </w:p>
    <w:p>
      <w:pPr>
        <w:spacing w:after="120" w:line="276" w:lineRule="auto"/>
        <w:jc w:val="center"/>
      </w:pPr>
      <w:r>
        <w:rPr>
          <w:b/>
          <w:i w:val="0"/>
          <w:color w:val="1F4E79"/>
          <w:sz w:val="38"/>
        </w:rPr>
        <w:t>Informe de Especificación de Requerimientos de Software</w:t>
      </w:r>
    </w:p>
    <w:p>
      <w:pPr>
        <w:spacing w:after="160" w:line="276" w:lineRule="auto"/>
        <w:jc w:val="center"/>
      </w:pPr>
      <w:r>
        <w:rPr>
          <w:b w:val="0"/>
          <w:i/>
          <w:color w:val="595959"/>
          <w:sz w:val="23"/>
        </w:rPr>
        <w:t>Documento de Especificación de Requerimientos de Software (SRS)</w:t>
      </w:r>
    </w:p>
    <w:p>
      <w:pPr>
        <w:spacing w:after="520" w:line="276" w:lineRule="auto"/>
        <w:jc w:val="center"/>
      </w:pPr>
      <w:r>
        <w:rPr>
          <w:b/>
          <w:i w:val="0"/>
          <w:sz w:val="22"/>
        </w:rPr>
        <w:t>Sistema DespliegaUML — Documento de Especificación de Requerimientos de Software, Versión 1.0</w:t>
      </w:r>
    </w:p>
    <w:p>
      <w:pPr>
        <w:spacing w:after="40" w:line="276" w:lineRule="auto"/>
        <w:jc w:val="center"/>
      </w:pPr>
      <w:r>
        <w:rPr>
          <w:b w:val="0"/>
          <w:i w:val="0"/>
          <w:sz w:val="22"/>
        </w:rPr>
        <w:t>Curso: Calidad y Pruebas de Software (SI-784)</w:t>
      </w:r>
    </w:p>
    <w:p>
      <w:pPr>
        <w:spacing w:after="40" w:line="276" w:lineRule="auto"/>
        <w:jc w:val="center"/>
      </w:pPr>
      <w:r>
        <w:rPr>
          <w:b w:val="0"/>
          <w:i w:val="0"/>
          <w:sz w:val="22"/>
        </w:rPr>
        <w:t>Docente: CUADROS QUIROGA, Patrick Jose</w:t>
      </w:r>
    </w:p>
    <w:p>
      <w:pPr>
        <w:spacing w:after="480" w:line="276" w:lineRule="auto"/>
        <w:jc w:val="center"/>
      </w:pPr>
      <w:r>
        <w:rPr>
          <w:b w:val="0"/>
          <w:i w:val="0"/>
          <w:sz w:val="22"/>
        </w:rPr>
        <w:t>Ciclo 7 · 2026-II</w:t>
      </w:r>
    </w:p>
    <w:p>
      <w:pPr>
        <w:spacing w:after="80" w:line="276" w:lineRule="auto"/>
        <w:jc w:val="center"/>
      </w:pPr>
      <w:r>
        <w:rPr>
          <w:b/>
          <w:i w:val="0"/>
          <w:sz w:val="22"/>
        </w:rPr>
        <w:t>Integrantes:</w:t>
      </w:r>
    </w:p>
    <w:p>
      <w:pPr>
        <w:spacing w:after="40" w:line="276" w:lineRule="auto"/>
        <w:jc w:val="center"/>
      </w:pPr>
      <w:r>
        <w:rPr>
          <w:b w:val="0"/>
          <w:i w:val="0"/>
          <w:sz w:val="22"/>
        </w:rPr>
        <w:t>RODRIGUEZ CARDENAS, Patrick — 2022075751</w:t>
      </w:r>
    </w:p>
    <w:p>
      <w:pPr>
        <w:spacing w:after="40" w:line="276" w:lineRule="auto"/>
        <w:jc w:val="center"/>
      </w:pPr>
      <w:r>
        <w:rPr>
          <w:b w:val="0"/>
          <w:i w:val="0"/>
          <w:sz w:val="22"/>
        </w:rPr>
        <w:t>RIOS COHAILA, Nicole — 2022075745</w:t>
      </w:r>
    </w:p>
    <w:p>
      <w:pPr>
        <w:spacing w:after="0" w:line="276" w:lineRule="auto"/>
        <w:jc w:val="center"/>
      </w:pPr>
      <w:r>
        <w:rPr>
          <w:b w:val="0"/>
          <w:i w:val="0"/>
          <w:sz w:val="22"/>
        </w:rPr>
        <w:t>Tacna – Perú ·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Control de versiones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2041"/>
        <w:gridCol w:w="1814"/>
        <w:gridCol w:w="1814"/>
        <w:gridCol w:w="1304"/>
        <w:gridCol w:w="1701"/>
      </w:tblGrid>
      <w:tr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Hecha por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Revisada por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Aprobada por</w:t>
            </w:r>
          </w:p>
        </w:tc>
        <w:tc>
          <w:tcPr>
            <w:tcW w:type="dxa" w:w="130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Rodriguez P. / Rios N.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Docente del curso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Docente del curso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26/09/2026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Versión original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4E79"/>
        </w:rPr>
        <w:t>Índice general</w:t>
      </w:r>
    </w:p>
    <w:p>
      <w:pPr>
        <w:spacing w:after="40" w:line="276" w:lineRule="auto"/>
      </w:pPr>
      <w:r>
        <w:rPr>
          <w:b/>
          <w:i w:val="0"/>
          <w:sz w:val="22"/>
        </w:rPr>
        <w:t>1. Introducción</w:t>
      </w:r>
    </w:p>
    <w:p>
      <w:pPr>
        <w:spacing w:after="40" w:line="276" w:lineRule="auto"/>
      </w:pPr>
      <w:r>
        <w:rPr>
          <w:b/>
          <w:i w:val="0"/>
          <w:sz w:val="22"/>
        </w:rPr>
        <w:t>2. Descripción general</w:t>
      </w:r>
    </w:p>
    <w:p>
      <w:pPr>
        <w:spacing w:after="40" w:line="276" w:lineRule="auto"/>
      </w:pPr>
      <w:r>
        <w:rPr>
          <w:b/>
          <w:i w:val="0"/>
          <w:sz w:val="22"/>
        </w:rPr>
        <w:t>3. Requerimientos específicos</w:t>
      </w:r>
    </w:p>
    <w:p>
      <w:pPr>
        <w:spacing w:after="40" w:line="276" w:lineRule="auto"/>
      </w:pPr>
      <w:r>
        <w:rPr>
          <w:b/>
          <w:i w:val="0"/>
          <w:sz w:val="22"/>
        </w:rPr>
        <w:t>4. Requerimientos no funcionales</w:t>
      </w:r>
    </w:p>
    <w:p>
      <w:pPr>
        <w:spacing w:after="40" w:line="276" w:lineRule="auto"/>
      </w:pPr>
      <w:r>
        <w:rPr>
          <w:b/>
          <w:i w:val="0"/>
          <w:sz w:val="22"/>
        </w:rPr>
        <w:t>5. Reglas de consistencia del modelo</w:t>
      </w:r>
    </w:p>
    <w:p>
      <w:pPr>
        <w:spacing w:after="40" w:line="276" w:lineRule="auto"/>
      </w:pPr>
      <w:r>
        <w:rPr>
          <w:b/>
          <w:i w:val="0"/>
          <w:sz w:val="22"/>
        </w:rPr>
        <w:t>6. Casos de uso</w:t>
      </w:r>
    </w:p>
    <w:p>
      <w:pPr>
        <w:spacing w:after="40" w:line="276" w:lineRule="auto"/>
      </w:pPr>
      <w:r>
        <w:rPr>
          <w:b/>
          <w:i w:val="0"/>
          <w:sz w:val="22"/>
        </w:rPr>
        <w:t>7. Trazabilidad</w:t>
      </w:r>
    </w:p>
    <w:p>
      <w:pPr>
        <w:spacing w:after="40" w:line="276" w:lineRule="auto"/>
      </w:pPr>
      <w:r>
        <w:rPr>
          <w:b/>
          <w:i w:val="0"/>
          <w:sz w:val="22"/>
        </w:rPr>
        <w:t>8. Referencias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1. Introducción</w:t>
      </w:r>
    </w:p>
    <w:p>
      <w:pPr>
        <w:pStyle w:val="Heading2"/>
      </w:pPr>
      <w:r>
        <w:rPr>
          <w:rFonts w:ascii="Calibri" w:hAnsi="Calibri"/>
          <w:color w:val="1F4E79"/>
        </w:rPr>
        <w:t>1.1 Propósito</w:t>
      </w:r>
    </w:p>
    <w:p>
      <w:pPr>
        <w:spacing w:after="120" w:line="276" w:lineRule="auto"/>
      </w:pPr>
      <w:r>
        <w:rPr>
          <w:b w:val="0"/>
          <w:i w:val="0"/>
          <w:sz w:val="22"/>
        </w:rPr>
        <w:t>Este documento especifica los requisitos funcionales y no funcionales de DespliegaUML, la herramienta que modela el diagrama de componentes y el diagrama de despliegue de un sistema de software, valida la consistencia del modelo mediante un catálogo de 19 reglas y genera el plan de despliegue correspondiente. Es el contrato entre el equipo de desarrollo y el docente evaluador: lo que no está aquí no se verifica.</w:t>
      </w:r>
    </w:p>
    <w:p>
      <w:pPr>
        <w:pStyle w:val="Heading2"/>
      </w:pPr>
      <w:r>
        <w:rPr>
          <w:rFonts w:ascii="Calibri" w:hAnsi="Calibri"/>
          <w:color w:val="1F4E79"/>
        </w:rPr>
        <w:t>1.2 Alcance</w:t>
      </w:r>
    </w:p>
    <w:p>
      <w:pPr>
        <w:spacing w:after="120" w:line="276" w:lineRule="auto"/>
      </w:pPr>
      <w:r>
        <w:rPr>
          <w:b w:val="0"/>
          <w:i w:val="0"/>
          <w:sz w:val="22"/>
        </w:rPr>
        <w:t>El alcance cubre el modelo de dominio, el motor de validación, el generador de plan de despliegue, la interfaz de edición y la interoperabilidad con JSON y PlantUML. Quedan fuera: la publicación como servicio multiusuario, el control de versiones collaborative del modelo y la integración con gestionores de infraestructura en la nube.</w:t>
      </w:r>
    </w:p>
    <w:p>
      <w:pPr>
        <w:pStyle w:val="Heading2"/>
      </w:pPr>
      <w:r>
        <w:rPr>
          <w:rFonts w:ascii="Calibri" w:hAnsi="Calibri"/>
          <w:color w:val="1F4E79"/>
        </w:rPr>
        <w:t>1.3 Definiciones, siglas y abreviaturas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674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UML</w:t>
            </w:r>
          </w:p>
        </w:tc>
        <w:tc>
          <w:tcPr>
            <w:tcW w:type="dxa" w:w="6746"/>
          </w:tcPr>
          <w:p>
            <w:r/>
            <w:r>
              <w:rPr>
                <w:sz w:val="19"/>
              </w:rPr>
              <w:t>Unified Modeling Language, lenguaje estándar de modelado de software.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Diagrama de componentes</w:t>
            </w:r>
          </w:p>
        </w:tc>
        <w:tc>
          <w:tcPr>
            <w:tcW w:type="dxa" w:w="6746"/>
          </w:tcPr>
          <w:p>
            <w:r/>
            <w:r>
              <w:rPr>
                <w:sz w:val="19"/>
              </w:rPr>
              <w:t>Vista UML que describe los componentes, sus interfaces y sus relaciones.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Diagrama de despliegue</w:t>
            </w:r>
          </w:p>
        </w:tc>
        <w:tc>
          <w:tcPr>
            <w:tcW w:type="dxa" w:w="6746"/>
          </w:tcPr>
          <w:p>
            <w:r/>
            <w:r>
              <w:rPr>
                <w:sz w:val="19"/>
              </w:rPr>
              <w:t>Vista UML que describe los nodos físicos y los artefactos que se despliegan en ellos.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Componente</w:t>
            </w:r>
          </w:p>
        </w:tc>
        <w:tc>
          <w:tcPr>
            <w:tcW w:type="dxa" w:w="6746"/>
          </w:tcPr>
          <w:p>
            <w:r/>
            <w:r>
              <w:rPr>
                <w:sz w:val="19"/>
              </w:rPr>
              <w:t>Unidad de software con interfaces publishes o requeridas.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Puerto</w:t>
            </w:r>
          </w:p>
        </w:tc>
        <w:tc>
          <w:tcPr>
            <w:tcW w:type="dxa" w:w="6746"/>
          </w:tcPr>
          <w:p>
            <w:r/>
            <w:r>
              <w:rPr>
                <w:sz w:val="19"/>
              </w:rPr>
              <w:t>Punto de conexión de un componente: «provided» si publica la interfaz, «required» si la requiere.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Nodo</w:t>
            </w:r>
          </w:p>
        </w:tc>
        <w:tc>
          <w:tcPr>
            <w:tcW w:type="dxa" w:w="6746"/>
          </w:tcPr>
          <w:p>
            <w:r/>
            <w:r>
              <w:rPr>
                <w:sz w:val="19"/>
              </w:rPr>
              <w:t>Ejecución de un programa sobre un recurso físico; en UML 2 un nodo representa una máquina.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Artefacto</w:t>
            </w:r>
          </w:p>
        </w:tc>
        <w:tc>
          <w:tcPr>
            <w:tcW w:type="dxa" w:w="6746"/>
          </w:tcPr>
          <w:p>
            <w:r/>
            <w:r>
              <w:rPr>
                <w:sz w:val="19"/>
              </w:rPr>
              <w:t>Archivo desplegable: ejecutable, biblioteca, dato o documento.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Realización</w:t>
            </w:r>
          </w:p>
        </w:tc>
        <w:tc>
          <w:tcPr>
            <w:tcW w:type="dxa" w:w="6746"/>
          </w:tcPr>
          <w:p>
            <w:r/>
            <w:r>
              <w:rPr>
                <w:sz w:val="19"/>
              </w:rPr>
              <w:t>Unión entre un artefacto y el nodo donde se despliega.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Camino de comunicación</w:t>
            </w:r>
          </w:p>
        </w:tc>
        <w:tc>
          <w:tcPr>
            <w:tcW w:type="dxa" w:w="6746"/>
          </w:tcPr>
          <w:p>
            <w:r/>
            <w:r>
              <w:rPr>
                <w:sz w:val="19"/>
              </w:rPr>
              <w:t>Enlace entre dos nodos con un protocolo y un puerto.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Motor de validación</w:t>
            </w:r>
          </w:p>
        </w:tc>
        <w:tc>
          <w:tcPr>
            <w:tcW w:type="dxa" w:w="6746"/>
          </w:tcPr>
          <w:p>
            <w:r/>
            <w:r>
              <w:rPr>
                <w:sz w:val="19"/>
              </w:rPr>
              <w:t>Componente que evalúa el modelo contra un catálogo de reglas.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Falso positivo</w:t>
            </w:r>
          </w:p>
        </w:tc>
        <w:tc>
          <w:tcPr>
            <w:tcW w:type="dxa" w:w="6746"/>
          </w:tcPr>
          <w:p>
            <w:r/>
            <w:r>
              <w:rPr>
                <w:sz w:val="19"/>
              </w:rPr>
              <w:t>Alerta que señala un defecto donde el modelo es correcto.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1.4 Visión general</w:t>
      </w:r>
    </w:p>
    <w:p>
      <w:pPr>
        <w:spacing w:after="120" w:line="276" w:lineRule="auto"/>
      </w:pPr>
      <w:r>
        <w:rPr>
          <w:b w:val="0"/>
          <w:i w:val="0"/>
          <w:sz w:val="22"/>
        </w:rPr>
        <w:t>DespliegaUML integra tres capacidades: un editor de los dos diagramas, un motor de validación de reglas y un generador de plan de despliegue. La decisión de arquitectura central es separar el modelo de dominio de su representación, de modo que la lógica de validación es independiente del navegador y puede probarse de forma automatizada en Node.js.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2. Descripción general</w:t>
      </w:r>
    </w:p>
    <w:p>
      <w:pPr>
        <w:pStyle w:val="Heading2"/>
      </w:pPr>
      <w:r>
        <w:rPr>
          <w:rFonts w:ascii="Calibri" w:hAnsi="Calibri"/>
          <w:color w:val="1F4E79"/>
        </w:rPr>
        <w:t>2.1 Perspectiva del producto</w:t>
      </w:r>
    </w:p>
    <w:p>
      <w:pPr>
        <w:spacing w:after="120" w:line="276" w:lineRule="auto"/>
      </w:pPr>
      <w:r>
        <w:rPr>
          <w:b w:val="0"/>
          <w:i w:val="0"/>
          <w:sz w:val="22"/>
        </w:rPr>
        <w:t>Aplicación web independiente, de ejecución local o servida como sitio estático. No requiere servidor de aplicaciones ni base de datos: el modelo reside en el navegador y se persiste en el almacenamiento local.</w:t>
      </w:r>
    </w:p>
    <w:p>
      <w:pPr>
        <w:pStyle w:val="Heading2"/>
      </w:pPr>
      <w:r>
        <w:rPr>
          <w:rFonts w:ascii="Calibri" w:hAnsi="Calibri"/>
          <w:color w:val="1F4E79"/>
        </w:rPr>
        <w:t>2.2 Descripción de la arquitectura</w:t>
      </w:r>
    </w:p>
    <w:p>
      <w:pPr>
        <w:spacing w:after="120" w:line="276" w:lineRule="auto"/>
      </w:pPr>
      <w:r>
        <w:rPr>
          <w:b w:val="0"/>
          <w:i w:val="0"/>
          <w:sz w:val="22"/>
        </w:rPr>
        <w:t>El sistema se organiza en dos capas. La capa de dominio —modelo, motor de reglas, generador de plan e interoperabilidad— no depende del navegador y es la que se somete a las pruebas automatizadas. La capa de presentación —render en SVG, persistencia y controlador de la interfaz— depende de la anterior y sólo la utiliza. Esta separación es lo que permite verificar la lógica sin arrancar un navegador.</w:t>
      </w:r>
    </w:p>
    <w:p>
      <w:pPr>
        <w:pStyle w:val="Heading2"/>
      </w:pPr>
      <w:r>
        <w:rPr>
          <w:rFonts w:ascii="Calibri" w:hAnsi="Calibri"/>
          <w:color w:val="1F4E79"/>
        </w:rPr>
        <w:t>2.3 Identidad de los elementos del modelo</w:t>
      </w:r>
    </w:p>
    <w:p>
      <w:pPr>
        <w:spacing w:after="120" w:line="276" w:lineRule="auto"/>
      </w:pPr>
      <w:r>
        <w:rPr>
          <w:b w:val="0"/>
          <w:i w:val="0"/>
          <w:sz w:val="22"/>
        </w:rPr>
        <w:t>Cada elemento del modelo lleva un identificador estable, generado correlativamente y con prefijo según su tipo. Los identificadores son la base de la trazabilidad: un hallazgo de validación apunta al elemento concreto que lo provoca.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5329"/>
        <w:gridCol w:w="1757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Colección</w:t>
            </w:r>
          </w:p>
        </w:tc>
        <w:tc>
          <w:tcPr>
            <w:tcW w:type="dxa" w:w="532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175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Prefijo del identificador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componentes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Componentes UML con sus puertos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conectores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Uniones entre un puerto published y uno requerido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nodos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Nodos de despliegue con jerarquía y ficha técnica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artefactos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Artefactos desplegables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realizaciones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Unión artefacto → nodo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caminos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Comunicación entre nodos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CP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2.4 Entorno de usuario</w:t>
      </w:r>
    </w:p>
    <w:p>
      <w:pPr>
        <w:spacing w:after="120" w:line="276" w:lineRule="auto"/>
      </w:pPr>
      <w:r>
        <w:rPr>
          <w:b w:val="0"/>
          <w:i w:val="0"/>
          <w:sz w:val="22"/>
        </w:rPr>
        <w:t>Aplicación ejecutada en el navegador. La interfaz muestra cuatro paneles: diagrama de componentes, diagrama de despliegue, catálogo de reglas y plan de despliegue. El usuario esperado conoce los conceptos de UML, pero la interfaz muestra siempre el estereotipo y el identificador de cada elemento para que no dependa del conocimiento previo de la notación.</w:t>
      </w:r>
    </w:p>
    <w:p>
      <w:pPr>
        <w:pStyle w:val="Heading2"/>
      </w:pPr>
      <w:r>
        <w:rPr>
          <w:rFonts w:ascii="Calibri" w:hAnsi="Calibri"/>
          <w:color w:val="1F4E79"/>
        </w:rPr>
        <w:t>2.5 Restricciones</w:t>
      </w:r>
    </w:p>
    <w:p>
      <w:pPr>
        <w:pStyle w:val="ListBullet"/>
        <w:spacing w:after="60"/>
        <w:ind w:left="340"/>
      </w:pPr>
      <w:r>
        <w:rPr>
          <w:sz w:val="22"/>
        </w:rPr>
        <w:t>Sin dependencias externas ni paso de compilación: la aplicación debe poder abrirse con doble clic sobre el archivo HTML.</w:t>
      </w:r>
    </w:p>
    <w:p>
      <w:pPr>
        <w:pStyle w:val="ListBullet"/>
        <w:spacing w:after="60"/>
        <w:ind w:left="340"/>
      </w:pPr>
      <w:r>
        <w:rPr>
          <w:sz w:val="22"/>
        </w:rPr>
        <w:t>El código debe ser compatible con navegadores que soporten ES5.</w:t>
      </w:r>
    </w:p>
    <w:p>
      <w:pPr>
        <w:pStyle w:val="ListBullet"/>
        <w:spacing w:after="60"/>
        <w:ind w:left="340"/>
      </w:pPr>
      <w:r>
        <w:rPr>
          <w:sz w:val="22"/>
        </w:rPr>
        <w:t>La lógica de dominio debe poder ejecutarse en Node.js sin navegador.</w:t>
      </w:r>
    </w:p>
    <w:p>
      <w:pPr>
        <w:pStyle w:val="ListBullet"/>
        <w:spacing w:after="60"/>
        <w:ind w:left="340"/>
      </w:pPr>
      <w:r>
        <w:rPr>
          <w:sz w:val="22"/>
        </w:rPr>
        <w:t>La documentación técnica se genera desde el código, no se edita a mano.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3. Requerimientos específicos</w:t>
      </w:r>
    </w:p>
    <w:p>
      <w:pPr>
        <w:spacing w:after="120" w:line="276" w:lineRule="auto"/>
      </w:pPr>
      <w:r>
        <w:rPr>
          <w:b w:val="0"/>
          <w:i/>
          <w:color w:val="595959"/>
          <w:sz w:val="22"/>
        </w:rPr>
        <w:t>Cada requerimiento lleva un identificador estable. La columna de verificación indica la evidencia objetiva que demuestra su cumplimiento.</w:t>
      </w:r>
    </w:p>
    <w:p>
      <w:pPr>
        <w:pStyle w:val="Heading2"/>
      </w:pPr>
      <w:r>
        <w:rPr>
          <w:rFonts w:ascii="Calibri" w:hAnsi="Calibri"/>
          <w:color w:val="1F4E79"/>
        </w:rPr>
        <w:t>3.1 Requerimientos funcionales del modelo de dominio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5216"/>
        <w:gridCol w:w="1134"/>
        <w:gridCol w:w="2098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209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RF-01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crear componentes con identificador único, nombre, estereotipo y descripción.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Casos T-01, T-02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RF-02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declarar puertos en un componente, cada uno con nombre, interfaz y dirección provided o required.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Casos T-05, T-06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RF-03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crear conectores que unan un puerto provided con uno required.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Casos T-24, T-25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RF-04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crear nodos con jerarquía opcional y ficha técnica de sistema operativo, CPU y memoria.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Casos T-33, T-34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RF-05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crear artefactos con tipo, ruta de archivo y versión.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Casos T-30, T-31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RF-06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registrar qué artefacto se realiza en qué nodo.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T-29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RF-07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crear caminos de comunicación entre nodos con protocolo y puerto.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Casos T-38, T-39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RF-08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Al eliminar un componente, el sistema debe eliminar en cascada sus conectores.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T-07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RF-09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Al eliminar un artefacto, el sistema debe eliminar en cascada sus realizaciones.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T-08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RF-10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Al eliminar un nodo, el sistema debe eliminar sus realizaciones y caminos, y liberar a sus hijos.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T-09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RF-11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indexar el modelo en una sola pasada para alimentar la validación.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T-06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RF-12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normalizar los modelos que lleguen incompletos, completando las colecciones ausentes.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RF-13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clonar un modelo sin compartir estructura con el original.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Baja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T-11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3.2 Requerimientos funcionales de la validación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5216"/>
        <w:gridCol w:w="1134"/>
        <w:gridCol w:w="2098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209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RF-14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motor debe evaluar la totalidad del catálogo de reglas ante cualquier cambio del modelo.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T-16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RF-15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motor debe clasificar cada hallazgo como error, warning o info.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T-15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RF-16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motor debe ordenar los hallazgos por severidad descendente.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T-15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RF-17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motor debe señalar el elemento concreto que provoca cada hallazgo.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Casos T-17 a T-44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RF-18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motor debe declarar el modelo válido cuando no produce hallazgos de severidad error.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Casos T-12, T-13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RF-19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Si una regla lanza una excepción, el motor debe registrar el fallo y continuar evaluando las demás.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T-46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RF-20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Un modelo vacío no debe producir hallazgos de severidad error.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T-45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3.3 Requerimientos funcionales de la generación del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5216"/>
        <w:gridCol w:w="1134"/>
        <w:gridCol w:w="2098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209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RF-21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generador debe calcular el orden topológico de los componentes a partir del grafo de ensamblaje.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Casos T-49, T-50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RF-22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generador debe asignar a cada componente su nivel de dependencia.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T-49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RF-23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generador debe producir una fase de despliegue por nivel, más una fase de verificación final.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T-53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RF-24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generador debe incluir la ficha técnica de cada nodo en el plan.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T-51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RF-25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generador debe registrar como supuestos los datos técnicos que el modelo no declara.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T-52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RF-26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plan debe cubrir todos los nodos y artefactos del modelo sin referencias pendientes.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T-54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RF-27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generador debe bloquear el plan y reportar los errores cuando el modelo es inconsistente.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T-48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RF-28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plan debe renderizarse en Markdown con topología, orden, fases y supuestos.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T-55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3.4 Requerimientos funcionales de la interfaz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5216"/>
        <w:gridCol w:w="1134"/>
        <w:gridCol w:w="2098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209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RF-29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usuario debe crear cada tipo de elemento del modelo desde la herramienta correspondiente.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Prueba de humo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RF-30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usuario debe editar y eliminar cualquier elemento desde el inspector.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Prueba de humo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RF-31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La interfaz debe marcar en rojo los elementos que incumplen una regla.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Verificación visual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RF-32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La interfaz debe reevaluar la validación ante cada cambio del modelo.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Prueba de humo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RF-33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usuario debe poder filtrar el catálogo de reglas por estado de hallazgo.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Baja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Verificación visual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RF-34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La interfaz debe ofrecer un enlace directo a cada panel mediante parámetros de la URL.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Baja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Verificación visual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3.5 Requerimientos funcionales de interoperabilidad y persistencia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5216"/>
        <w:gridCol w:w="1134"/>
        <w:gridCol w:w="2098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209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RF-35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usuario debe exportar e importar el modelo completo en JSON.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T-58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RF-36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exportar el modelo a PlantUML, en dos archivos autocontenidos.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 T-60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RF-37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reimportar su propia exportación PlantUML sin pérdida de información.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Casos T-61 a T-64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RF-38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sistema debe persistir el modelo automáticamente en el almacenamiento local del navegador.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Verificación visual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RF-39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El plan de despliegue debe poder copiarse al portapapeles y descargarse en Markdown.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Verificación visual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4. Requerimientos no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928"/>
        <w:gridCol w:w="4762"/>
        <w:gridCol w:w="1757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Atributo de calidad</w:t>
            </w:r>
          </w:p>
        </w:tc>
        <w:tc>
          <w:tcPr>
            <w:tcW w:type="dxa" w:w="476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175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RNF-01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Usabilidad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La aplicación debe abrirse con doble clic, sin instalación, compilación ni servidor.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Verificación manual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RNF-02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Rendimiento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La validación de las 19 reglas sobre el modelo de referencia debe completarse en menos de 50 ms.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Informe de calidad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RNF-03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Mantenibilidad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La lógica de dominio no debe depender del navegador, para poder probarse en Node.js.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Caso T-63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RNF-04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Trazabilidad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Todo hallazgo de validación debe identificar el elemento y la regla que lo provoca.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Casos T-17 a T-44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RNF-05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Portabilidad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El código debe ser compatible con navegadores que soporten ES5.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Verificación en Firefox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RNF-06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Consistencia de documentación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La documentación técnica debe generarse desde el código mediante unaCI, no editarse a mano.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Verificación del pipeline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RNF-07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Fiabilidad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Ninguna regla debe producir falsos positivos sobre un modelo válido.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Casos positivos de cada regla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RNF-08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Recuperabilidad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Un modelo importado incompleto o malformado debe normalizarse en lugar de fallar.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Casos T-10, T-58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5. Reglas de consistencia del modelo</w:t>
      </w:r>
    </w:p>
    <w:p>
      <w:pPr>
        <w:spacing w:after="200" w:line="276" w:lineRule="auto"/>
      </w:pPr>
      <w:r>
        <w:rPr>
          <w:b w:val="0"/>
          <w:i w:val="0"/>
          <w:sz w:val="22"/>
        </w:rPr>
        <w:t>El motor de validación se apoya en un catálogo de 19 reglas. Cada una tiene un identificador estable, un nombre, un fundamento explícito y una severidad. La regla de decisión del sistema es: el plan de despliegue se genera únicamente cuando el modelo no produce ningún hallazgo de severidad «error».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3628"/>
        <w:gridCol w:w="4819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81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Fundamento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R-01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Unicidad de identificadores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Un id duplicado hace ambigua cualquier referencia posterior.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R-02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Nombre obligatorio en todo elemento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Un modelo sin nombre no es revisable ni trazable.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R-03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Estereotipos dentro del catálogo UML 2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Restringe el vocabulario a los estereotipos definidos por OMG UML 2.x.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R-04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Los conectores referencian extremos existentes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Una referencia colgante (apunta a algo que no existe) invalida el modelo en cascada.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R-05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Simetría provided/required en conectores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Un conector une una interfaz publicada con una interfaz requerida.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R-06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Todo puerto required debe estar conectado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Una dependencia sin resolver indica cableado incompleto.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R-07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Aviso de interfaz publicada sin requeridores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Detecta contratos publicados que nadie consume.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R-08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Interfaz única por componente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Un componente no puede exponer dos veces el mismo contrato.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R-09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Las realizaciones apuntan a artefacto y nodo válidos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Una realización sin artefacto o sin nodo no es desplegable.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R-10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Todo artefacto se realiza en al menos un nodo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Un artefacto no desplegado nunca llega al cliente.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R-11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Todo componente tiene artefacto que lo implemente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Un componente sin materialización es sólo papel lógico.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R-12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Jerarquía de nodos acíclica y anfitrión válido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La jerarquía de anidamiento no puede contener ciclos.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R-13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Una unidad de ejecución por nodo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UML 2: un nodo representa una máquina con una unidad de ejecución.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R-14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Nodos con especificación técnica declarada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Sin SO/CPU/memoria el plan de despliegue no es ejecutable.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R-15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Caminos de comunicación válidos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Extremos existentes, sin bucles, puerto en rango 1-65535.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R-16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Nodo aislado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Un nodo sin artefactos ni vecinos no participa del despliegue.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R-17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Grafo de ensamblaje acíclico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Una dependencia circular entre componentes impide el despliegue ordenado.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R-18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El conector empareja la misma interfaz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La interfaz es el contrato que ambos extremos deben compartir.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R-19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Interfaz publicada por un único componente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Diagnóstico de contratos sin contraparte.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5.1 Vocabulario controlado</w:t>
      </w:r>
    </w:p>
    <w:p>
      <w:pPr>
        <w:spacing w:after="120" w:line="276" w:lineRule="auto"/>
      </w:pPr>
      <w:r>
        <w:rPr>
          <w:b w:val="0"/>
          <w:i w:val="0"/>
          <w:sz w:val="22"/>
        </w:rPr>
        <w:t>Para mantener la coherencia del modelo, el sistema restringe el vocabulario de estereotipos a los definidos por OMG UML 2.x. Cualquier valor fuera de este catálogo es rechazado por la regla R-03.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427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42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Valores admitidos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Componente</w:t>
            </w:r>
          </w:p>
        </w:tc>
        <w:tc>
          <w:tcPr>
            <w:tcW w:type="dxa" w:w="7427"/>
          </w:tcPr>
          <w:p>
            <w:r/>
            <w:r>
              <w:rPr>
                <w:sz w:val="19"/>
              </w:rPr>
              <w:t>application, service, library, interface, database, external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Nodo</w:t>
            </w:r>
          </w:p>
        </w:tc>
        <w:tc>
          <w:tcPr>
            <w:tcW w:type="dxa" w:w="7427"/>
          </w:tcPr>
          <w:p>
            <w:r/>
            <w:r>
              <w:rPr>
                <w:sz w:val="19"/>
              </w:rPr>
              <w:t>device, executionEnvironment, deploymentUnit, container, cloudRegion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Artefacto</w:t>
            </w:r>
          </w:p>
        </w:tc>
        <w:tc>
          <w:tcPr>
            <w:tcW w:type="dxa" w:w="7427"/>
          </w:tcPr>
          <w:p>
            <w:r/>
            <w:r>
              <w:rPr>
                <w:sz w:val="19"/>
              </w:rPr>
              <w:t>executable, library, data, document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Puerto</w:t>
            </w:r>
          </w:p>
        </w:tc>
        <w:tc>
          <w:tcPr>
            <w:tcW w:type="dxa" w:w="7427"/>
          </w:tcPr>
          <w:p>
            <w:r/>
            <w:r>
              <w:rPr>
                <w:sz w:val="19"/>
              </w:rPr>
              <w:t>provided, required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6. Casos de uso</w:t>
      </w:r>
    </w:p>
    <w:p>
      <w:pPr>
        <w:pStyle w:val="Heading2"/>
      </w:pPr>
      <w:r>
        <w:rPr>
          <w:rFonts w:ascii="Calibri" w:hAnsi="Calibri"/>
          <w:color w:val="1F4E79"/>
        </w:rPr>
        <w:t>6.1 UC-01 Modelar el diagrama de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40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54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Actor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Desarrollador o arquitecto de software.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Precondición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Ninguna.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Disparador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El usuario selecciona la herramienta de creación de componente.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Flujo principal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1. El usuario selecciona «+ Componente».</w:t>
              <w:br/>
              <w:t>2. El usuario hace clic en el lienzo.</w:t>
              <w:br/>
              <w:t>3. El sistema crea el componente con identificador correlativo.</w:t>
              <w:br/>
              <w:t>4. El usuario edita nombre y estereotipo en el inspector.</w:t>
              <w:br/>
              <w:t>5. El sistema reevalúa las 19 reglas.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Extensiones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a. Si el nombre queda vacío, la regla R-02 lo señala como error.</w:t>
              <w:br/>
              <w:t>b. Si el estereotipo no pertenece al catálogo, la regla R-03 lo rechaza.</w:t>
              <w:br/>
              <w:t>c. Si el componente no tiene artefacto que lo implemente, R-11 lo avisa.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6.2 UC-02 Validar el modelo y generar el plan de despliegue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40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54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Actor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Desarrollador o arquitecto de software.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Precondición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Existe un modelo con componentes, nodos y artefactos.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Disparador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El usuario pulsa «Generar plan de despliegue».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Flujo principal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1. El sistema evalúa las 19 reglas sobre el modelo.</w:t>
              <w:br/>
              <w:t>2. Si hay hallazgos de severidad «error», el plan queda bloqueado y se muestran los errores con su regla y su elemento.</w:t>
              <w:br/>
              <w:t>3. Si no hay errores, el sistema calcula el orden topológico y los niveles de dependencia.</w:t>
              <w:br/>
              <w:t>4. El sistema genera una fase por nivel más la fase de verificación.</w:t>
              <w:br/>
              <w:t>5. El sistema registra los supuestos pendientes.</w:t>
              <w:br/>
              <w:t>6. El usuario copia o descarga el plan en Markdown.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Extensiones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a. Si faltan datos técnicos en un nodo, se registran como supuesto (R-14).</w:t>
              <w:br/>
              <w:t>b. Si el grafo de componentes tiene un ciclo, el orden no está definido para esos componentes y se reporta como supuesto (R-17).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7. Trazabilidad</w:t>
      </w:r>
    </w:p>
    <w:p>
      <w:pPr>
        <w:spacing w:after="120" w:line="276" w:lineRule="auto"/>
      </w:pPr>
      <w:r>
        <w:rPr>
          <w:b w:val="0"/>
          <w:i w:val="0"/>
          <w:sz w:val="22"/>
        </w:rPr>
        <w:t>La matriz completa que relaciona cada regla con su caso de prueba positivo y negativo está en el plan de pruebas del proyecto. El esquema de trazabilidad 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3628"/>
        <w:gridCol w:w="3572"/>
      </w:tblGrid>
      <w:tr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62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Relación</w:t>
            </w:r>
          </w:p>
        </w:tc>
        <w:tc>
          <w:tcPr>
            <w:tcW w:type="dxa" w:w="357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Objetivo de investigación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OI-1 → eficacia de detección de las reglas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Casos de prueba negativos, uno por regla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Objetivo de investigación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OI-2 → cobertura del plan de despliegue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Caso T-54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Objetivo de solución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OS-1 → cobertura funcional del editor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Prueba de humo de flujo completo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Objetivo de solución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OS-2 → cobertura del catálogo de reglas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Un caso positivo y uno negativo por regla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Objetivo de solución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OS-3 → generación y bloqueo del plan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Casos T-47 y T-48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Objetivo de solución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OS-4 → pruebas automatizadas de la lógica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Suite completa, 19 reglas cubiertas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4E79"/>
        </w:rPr>
        <w:t>8. Referencias</w:t>
      </w:r>
    </w:p>
    <w:p>
      <w:pPr>
        <w:spacing w:after="120" w:line="276" w:lineRule="auto"/>
      </w:pPr>
      <w:r>
        <w:rPr>
          <w:b w:val="0"/>
          <w:i w:val="0"/>
          <w:sz w:val="22"/>
        </w:rPr>
        <w:t>Normas y estándares</w:t>
      </w:r>
    </w:p>
    <w:p>
      <w:pPr>
        <w:pStyle w:val="ListBullet"/>
        <w:spacing w:after="60"/>
        <w:ind w:left="340"/>
      </w:pPr>
      <w:r>
        <w:rPr>
          <w:sz w:val="22"/>
        </w:rPr>
        <w:t>OMG. Unified Modeling Language (UML) Specification, versión 2.x — estructura de los diagramas de componentes y de despliegue, y semántica de los estereotipos y de las interfaces.</w:t>
      </w:r>
    </w:p>
    <w:p>
      <w:pPr>
        <w:pStyle w:val="ListBullet"/>
        <w:spacing w:after="60"/>
        <w:ind w:left="340"/>
      </w:pPr>
      <w:r>
        <w:rPr>
          <w:sz w:val="22"/>
        </w:rPr>
        <w:t>IEEE 830 (recomendación de la ISO/IEC/IEEE 29148) — Especificación de requerimientos de software: estructura y criterios de calidad de un SRS.</w:t>
      </w:r>
    </w:p>
    <w:p>
      <w:pPr>
        <w:spacing w:after="80" w:line="276" w:lineRule="auto"/>
      </w:pPr>
      <w:r>
        <w:rPr>
          <w:b/>
          <w:i w:val="0"/>
          <w:sz w:val="22"/>
        </w:rPr>
        <w:t>Documentos del proyecto</w:t>
      </w:r>
    </w:p>
    <w:p>
      <w:pPr>
        <w:pStyle w:val="ListBullet"/>
        <w:spacing w:after="60"/>
        <w:ind w:left="340"/>
      </w:pPr>
      <w:r>
        <w:rPr>
          <w:sz w:val="22"/>
        </w:rPr>
        <w:t>FD01 — Informe de Factibilidad de DespliegaUML</w:t>
      </w:r>
    </w:p>
    <w:p>
      <w:pPr>
        <w:pStyle w:val="ListBullet"/>
        <w:spacing w:after="60"/>
        <w:ind w:left="340"/>
      </w:pPr>
      <w:r>
        <w:rPr>
          <w:sz w:val="22"/>
        </w:rPr>
        <w:t>FD02 — Documento de Visión de DespliegaUML</w:t>
      </w:r>
    </w:p>
    <w:p>
      <w:pPr>
        <w:pStyle w:val="ListBullet"/>
        <w:spacing w:after="60"/>
        <w:ind w:left="340"/>
      </w:pPr>
      <w:r>
        <w:rPr>
          <w:sz w:val="22"/>
        </w:rPr>
        <w:t>FD04 — Informe de Arquitectura de Software de DespliegaUML</w:t>
      </w:r>
    </w:p>
    <w:p>
      <w:pPr>
        <w:pStyle w:val="ListBullet"/>
        <w:spacing w:after="60"/>
        <w:ind w:left="340"/>
      </w:pPr>
      <w:r>
        <w:rPr>
          <w:sz w:val="22"/>
        </w:rPr>
        <w:t>calidad/Plan-de-Pruebas.md — plan de pruebas con trazabilidad regla → caso</w:t>
      </w:r>
    </w:p>
    <w:p>
      <w:pPr>
        <w:spacing w:after="80" w:line="276" w:lineRule="auto"/>
      </w:pPr>
      <w:r>
        <w:rPr>
          <w:b/>
          <w:i w:val="0"/>
          <w:sz w:val="22"/>
        </w:rPr>
        <w:t>Fuentes consultadas para la definición del problema</w:t>
      </w:r>
    </w:p>
    <w:p>
      <w:pPr>
        <w:pStyle w:val="ListBullet"/>
        <w:spacing w:after="60"/>
        <w:ind w:left="340"/>
      </w:pPr>
      <w:r>
        <w:rPr>
          <w:sz w:val="22"/>
        </w:rPr>
        <w:t>https://github.com/UPT-FAING-EPIS/ — antecedentes de la facultad.</w:t>
      </w:r>
    </w:p>
    <w:p>
      <w:pPr>
        <w:pStyle w:val="ListBullet"/>
        <w:spacing w:after="60"/>
        <w:ind w:left="340"/>
      </w:pPr>
      <w:r>
        <w:rPr>
          <w:sz w:val="22"/>
        </w:rPr>
        <w:t>https://problemhunt.pro/ — criterio de validación del problema.</w:t>
      </w:r>
    </w:p>
    <w:p>
      <w:pPr>
        <w:pStyle w:val="ListBullet"/>
        <w:spacing w:after="60"/>
        <w:ind w:left="340"/>
      </w:pPr>
      <w:r>
        <w:rPr>
          <w:sz w:val="22"/>
        </w:rPr>
        <w:t>https://radiouno.pe/ — actividad regional de desarrollo de software.</w:t>
      </w:r>
    </w:p>
    <w:p>
      <w:pPr>
        <w:pStyle w:val="ListBullet"/>
        <w:spacing w:after="60"/>
        <w:ind w:left="340"/>
      </w:pPr>
      <w:r>
        <w:rPr>
          <w:sz w:val="22"/>
        </w:rPr>
        <w:t>https://renati.sunedu.gob.pe/ — registro nacional de trabajos de investigación.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