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b/>
          <w:i w:val="0"/>
          <w:color w:val="1F4E79"/>
          <w:sz w:val="28"/>
        </w:rPr>
        <w:t>UNIVERSIDAD PRIVADA DE TACNA</w:t>
      </w:r>
    </w:p>
    <w:p>
      <w:pPr>
        <w:spacing w:after="0" w:line="276" w:lineRule="auto"/>
        <w:jc w:val="center"/>
      </w:pPr>
      <w:r>
        <w:rPr>
          <w:b/>
          <w:i w:val="0"/>
          <w:color w:val="1F4E79"/>
          <w:sz w:val="28"/>
        </w:rPr>
        <w:t>FACULTAD DE INGENIERÍA</w:t>
      </w:r>
    </w:p>
    <w:p>
      <w:pPr>
        <w:spacing w:after="600" w:line="276" w:lineRule="auto"/>
        <w:jc w:val="center"/>
      </w:pPr>
      <w:r>
        <w:rPr>
          <w:b w:val="0"/>
          <w:i w:val="0"/>
          <w:color w:val="595959"/>
          <w:sz w:val="24"/>
        </w:rPr>
        <w:t>Escuela Profesional de Ingeniería de Sistemas</w:t>
      </w:r>
    </w:p>
    <w:p>
      <w:pPr>
        <w:spacing w:after="80" w:line="276" w:lineRule="auto"/>
        <w:jc w:val="center"/>
      </w:pPr>
      <w:r>
        <w:rPr>
          <w:b/>
          <w:i w:val="0"/>
          <w:sz w:val="26"/>
        </w:rPr>
        <w:t>Proyecto DespliegaUML</w:t>
      </w:r>
    </w:p>
    <w:p>
      <w:pPr>
        <w:spacing w:after="120" w:line="276" w:lineRule="auto"/>
        <w:jc w:val="center"/>
      </w:pPr>
      <w:r>
        <w:rPr>
          <w:b/>
          <w:i w:val="0"/>
          <w:color w:val="1F4E79"/>
          <w:sz w:val="38"/>
        </w:rPr>
        <w:t>Informe de Arquitectura de Software</w:t>
      </w:r>
    </w:p>
    <w:p>
      <w:pPr>
        <w:spacing w:after="160" w:line="276" w:lineRule="auto"/>
        <w:jc w:val="center"/>
      </w:pPr>
      <w:r>
        <w:rPr>
          <w:b w:val="0"/>
          <w:i/>
          <w:color w:val="595959"/>
          <w:sz w:val="23"/>
        </w:rPr>
        <w:t>Documento de Arquitectura de Software (SAD)</w:t>
      </w:r>
    </w:p>
    <w:p>
      <w:pPr>
        <w:spacing w:after="520" w:line="276" w:lineRule="auto"/>
        <w:jc w:val="center"/>
      </w:pPr>
      <w:r>
        <w:rPr>
          <w:b/>
          <w:i w:val="0"/>
          <w:sz w:val="22"/>
        </w:rPr>
        <w:t>Sistema DespliegaUML — Documento de Arquitectura de Software, Versión 1.0</w:t>
      </w:r>
    </w:p>
    <w:p>
      <w:pPr>
        <w:spacing w:after="40" w:line="276" w:lineRule="auto"/>
        <w:jc w:val="center"/>
      </w:pPr>
      <w:r>
        <w:rPr>
          <w:b w:val="0"/>
          <w:i w:val="0"/>
          <w:sz w:val="22"/>
        </w:rPr>
        <w:t>Curso: Calidad y Pruebas de Software (SI-784)</w:t>
      </w:r>
    </w:p>
    <w:p>
      <w:pPr>
        <w:spacing w:after="40" w:line="276" w:lineRule="auto"/>
        <w:jc w:val="center"/>
      </w:pPr>
      <w:r>
        <w:rPr>
          <w:b w:val="0"/>
          <w:i w:val="0"/>
          <w:sz w:val="22"/>
        </w:rPr>
        <w:t>Docente: CUADROS QUIROGA, Patrick Jose</w:t>
      </w:r>
    </w:p>
    <w:p>
      <w:pPr>
        <w:spacing w:after="480" w:line="276" w:lineRule="auto"/>
        <w:jc w:val="center"/>
      </w:pPr>
      <w:r>
        <w:rPr>
          <w:b w:val="0"/>
          <w:i w:val="0"/>
          <w:sz w:val="22"/>
        </w:rPr>
        <w:t>Ciclo 7 · 2026-II</w:t>
      </w:r>
    </w:p>
    <w:p>
      <w:pPr>
        <w:spacing w:after="80" w:line="276" w:lineRule="auto"/>
        <w:jc w:val="center"/>
      </w:pPr>
      <w:r>
        <w:rPr>
          <w:b/>
          <w:i w:val="0"/>
          <w:sz w:val="22"/>
        </w:rPr>
        <w:t>Integrantes:</w:t>
      </w:r>
    </w:p>
    <w:p>
      <w:pPr>
        <w:spacing w:after="40" w:line="276" w:lineRule="auto"/>
        <w:jc w:val="center"/>
      </w:pPr>
      <w:r>
        <w:rPr>
          <w:b w:val="0"/>
          <w:i w:val="0"/>
          <w:sz w:val="22"/>
        </w:rPr>
        <w:t>RODRIGUEZ CARDENAS, Patrick — 2022075751</w:t>
      </w:r>
    </w:p>
    <w:p>
      <w:pPr>
        <w:spacing w:after="40" w:line="276" w:lineRule="auto"/>
        <w:jc w:val="center"/>
      </w:pPr>
      <w:r>
        <w:rPr>
          <w:b w:val="0"/>
          <w:i w:val="0"/>
          <w:sz w:val="22"/>
        </w:rPr>
        <w:t>RIOS COHAILA, Nicole — 2022075745</w:t>
      </w:r>
    </w:p>
    <w:p>
      <w:pPr>
        <w:spacing w:after="0" w:line="276" w:lineRule="auto"/>
        <w:jc w:val="center"/>
      </w:pPr>
      <w:r>
        <w:rPr>
          <w:b w:val="0"/>
          <w:i w:val="0"/>
          <w:sz w:val="22"/>
        </w:rPr>
        <w:t>Tacna – Perú · 2026</w:t>
      </w:r>
    </w:p>
    <w:p>
      <w:r>
        <w:br w:type="page"/>
      </w:r>
    </w:p>
    <w:p>
      <w:pPr>
        <w:pStyle w:val="Heading1"/>
      </w:pPr>
      <w:r>
        <w:rPr>
          <w:rFonts w:ascii="Calibri" w:hAnsi="Calibri"/>
          <w:color w:val="1F4E79"/>
        </w:rPr>
        <w:t>Control de versiones</w:t>
      </w:r>
    </w:p>
    <w:tbl>
      <w:tblPr>
        <w:tblStyle w:val="TableGrid"/>
        <w:tblW w:type="auto" w:w="0"/>
        <w:jc w:val="center"/>
        <w:tblLayout w:type="fixed"/>
        <w:tblLook w:firstColumn="1" w:firstRow="1" w:lastColumn="0" w:lastRow="0" w:noHBand="0" w:noVBand="1" w:val="04A0"/>
        <w:tblLayout w:type="fixed"/>
      </w:tblPr>
      <w:tblGrid>
        <w:gridCol w:w="1020"/>
        <w:gridCol w:w="2041"/>
        <w:gridCol w:w="1814"/>
        <w:gridCol w:w="1814"/>
        <w:gridCol w:w="1304"/>
        <w:gridCol w:w="1701"/>
      </w:tblGrid>
      <w:tr>
        <w:tc>
          <w:tcPr>
            <w:tcW w:type="dxa" w:w="1020"/>
            <w:shd w:val="clear" w:color="auto" w:fill="1F4E79"/>
          </w:tcPr>
          <w:p>
            <w:r/>
            <w:r>
              <w:rPr>
                <w:b/>
                <w:color w:val="FFFFFF"/>
                <w:sz w:val="18"/>
              </w:rPr>
              <w:t>Versión</w:t>
            </w:r>
          </w:p>
        </w:tc>
        <w:tc>
          <w:tcPr>
            <w:tcW w:type="dxa" w:w="2041"/>
            <w:shd w:val="clear" w:color="auto" w:fill="1F4E79"/>
          </w:tcPr>
          <w:p>
            <w:r/>
            <w:r>
              <w:rPr>
                <w:b/>
                <w:color w:val="FFFFFF"/>
                <w:sz w:val="18"/>
              </w:rPr>
              <w:t>Hecha por</w:t>
            </w:r>
          </w:p>
        </w:tc>
        <w:tc>
          <w:tcPr>
            <w:tcW w:type="dxa" w:w="1814"/>
            <w:shd w:val="clear" w:color="auto" w:fill="1F4E79"/>
          </w:tcPr>
          <w:p>
            <w:r/>
            <w:r>
              <w:rPr>
                <w:b/>
                <w:color w:val="FFFFFF"/>
                <w:sz w:val="18"/>
              </w:rPr>
              <w:t>Revisada por</w:t>
            </w:r>
          </w:p>
        </w:tc>
        <w:tc>
          <w:tcPr>
            <w:tcW w:type="dxa" w:w="1814"/>
            <w:shd w:val="clear" w:color="auto" w:fill="1F4E79"/>
          </w:tcPr>
          <w:p>
            <w:r/>
            <w:r>
              <w:rPr>
                <w:b/>
                <w:color w:val="FFFFFF"/>
                <w:sz w:val="18"/>
              </w:rPr>
              <w:t>Aprobada por</w:t>
            </w:r>
          </w:p>
        </w:tc>
        <w:tc>
          <w:tcPr>
            <w:tcW w:type="dxa" w:w="1304"/>
            <w:shd w:val="clear" w:color="auto" w:fill="1F4E79"/>
          </w:tcPr>
          <w:p>
            <w:r/>
            <w:r>
              <w:rPr>
                <w:b/>
                <w:color w:val="FFFFFF"/>
                <w:sz w:val="18"/>
              </w:rPr>
              <w:t>Fecha</w:t>
            </w:r>
          </w:p>
        </w:tc>
        <w:tc>
          <w:tcPr>
            <w:tcW w:type="dxa" w:w="1701"/>
            <w:shd w:val="clear" w:color="auto" w:fill="1F4E79"/>
          </w:tcPr>
          <w:p>
            <w:r/>
            <w:r>
              <w:rPr>
                <w:b/>
                <w:color w:val="FFFFFF"/>
                <w:sz w:val="18"/>
              </w:rPr>
              <w:t>Motivo</w:t>
            </w:r>
          </w:p>
        </w:tc>
      </w:tr>
      <w:tr>
        <w:tc>
          <w:tcPr>
            <w:tcW w:type="dxa" w:w="1020"/>
          </w:tcPr>
          <w:p>
            <w:r/>
            <w:r>
              <w:rPr>
                <w:sz w:val="18"/>
              </w:rPr>
              <w:t>1.0</w:t>
            </w:r>
          </w:p>
        </w:tc>
        <w:tc>
          <w:tcPr>
            <w:tcW w:type="dxa" w:w="2041"/>
          </w:tcPr>
          <w:p>
            <w:r/>
            <w:r>
              <w:rPr>
                <w:sz w:val="18"/>
              </w:rPr>
              <w:t>Rodriguez P. / Rios N.</w:t>
            </w:r>
          </w:p>
        </w:tc>
        <w:tc>
          <w:tcPr>
            <w:tcW w:type="dxa" w:w="1814"/>
          </w:tcPr>
          <w:p>
            <w:r/>
            <w:r>
              <w:rPr>
                <w:sz w:val="18"/>
              </w:rPr>
              <w:t>Docente del curso</w:t>
            </w:r>
          </w:p>
        </w:tc>
        <w:tc>
          <w:tcPr>
            <w:tcW w:type="dxa" w:w="1814"/>
          </w:tcPr>
          <w:p>
            <w:r/>
            <w:r>
              <w:rPr>
                <w:sz w:val="18"/>
              </w:rPr>
              <w:t>Docente del curso</w:t>
            </w:r>
          </w:p>
        </w:tc>
        <w:tc>
          <w:tcPr>
            <w:tcW w:type="dxa" w:w="1304"/>
          </w:tcPr>
          <w:p>
            <w:r/>
            <w:r>
              <w:rPr>
                <w:sz w:val="18"/>
              </w:rPr>
              <w:t>26/09/2026</w:t>
            </w:r>
          </w:p>
        </w:tc>
        <w:tc>
          <w:tcPr>
            <w:tcW w:type="dxa" w:w="1701"/>
          </w:tcPr>
          <w:p>
            <w:r/>
            <w:r>
              <w:rPr>
                <w:sz w:val="18"/>
              </w:rPr>
              <w:t>Versión original</w:t>
            </w:r>
          </w:p>
        </w:tc>
      </w:tr>
    </w:tbl>
    <w:p>
      <w:pPr>
        <w:spacing w:after="80"/>
      </w:pPr>
    </w:p>
    <w:p>
      <w:pPr>
        <w:pStyle w:val="Heading1"/>
      </w:pPr>
      <w:r>
        <w:rPr>
          <w:rFonts w:ascii="Calibri" w:hAnsi="Calibri"/>
          <w:color w:val="1F4E79"/>
        </w:rPr>
        <w:t>Índice general</w:t>
      </w:r>
    </w:p>
    <w:p>
      <w:pPr>
        <w:spacing w:after="40" w:line="276" w:lineRule="auto"/>
      </w:pPr>
      <w:r>
        <w:rPr>
          <w:b/>
          <w:i w:val="0"/>
          <w:sz w:val="22"/>
        </w:rPr>
        <w:t>1. Introducción</w:t>
      </w:r>
    </w:p>
    <w:p>
      <w:pPr>
        <w:spacing w:after="40" w:line="276" w:lineRule="auto"/>
      </w:pPr>
      <w:r>
        <w:rPr>
          <w:b/>
          <w:i w:val="0"/>
          <w:sz w:val="22"/>
        </w:rPr>
        <w:t>2. Objetivos y restricciones arquitectónicas</w:t>
      </w:r>
    </w:p>
    <w:p>
      <w:pPr>
        <w:spacing w:after="40" w:line="276" w:lineRule="auto"/>
      </w:pPr>
      <w:r>
        <w:rPr>
          <w:b/>
          <w:i w:val="0"/>
          <w:sz w:val="22"/>
        </w:rPr>
        <w:t>3. Vista de casos de uso</w:t>
      </w:r>
    </w:p>
    <w:p>
      <w:pPr>
        <w:spacing w:after="40" w:line="276" w:lineRule="auto"/>
      </w:pPr>
      <w:r>
        <w:rPr>
          <w:b/>
          <w:i w:val="0"/>
          <w:sz w:val="22"/>
        </w:rPr>
        <w:t>4. Vista lógica</w:t>
      </w:r>
    </w:p>
    <w:p>
      <w:pPr>
        <w:spacing w:after="40" w:line="276" w:lineRule="auto"/>
      </w:pPr>
      <w:r>
        <w:rPr>
          <w:b/>
          <w:i w:val="0"/>
          <w:sz w:val="22"/>
        </w:rPr>
        <w:t>5. Vista de implementación</w:t>
      </w:r>
    </w:p>
    <w:p>
      <w:pPr>
        <w:spacing w:after="40" w:line="276" w:lineRule="auto"/>
      </w:pPr>
      <w:r>
        <w:rPr>
          <w:b/>
          <w:i w:val="0"/>
          <w:sz w:val="22"/>
        </w:rPr>
        <w:t>6. Vista de despliegue</w:t>
      </w:r>
    </w:p>
    <w:p>
      <w:pPr>
        <w:spacing w:after="40" w:line="276" w:lineRule="auto"/>
      </w:pPr>
      <w:r>
        <w:rPr>
          <w:b/>
          <w:i w:val="0"/>
          <w:sz w:val="22"/>
        </w:rPr>
        <w:t>7. Decisiones de diseño</w:t>
      </w:r>
    </w:p>
    <w:p>
      <w:pPr>
        <w:spacing w:after="40" w:line="276" w:lineRule="auto"/>
      </w:pPr>
      <w:r>
        <w:rPr>
          <w:b/>
          <w:i w:val="0"/>
          <w:sz w:val="22"/>
        </w:rPr>
        <w:t>8. Atributos de calidad</w:t>
      </w:r>
    </w:p>
    <w:p>
      <w:r>
        <w:br w:type="page"/>
      </w:r>
    </w:p>
    <w:p>
      <w:pPr>
        <w:pStyle w:val="Heading1"/>
      </w:pPr>
      <w:r>
        <w:rPr>
          <w:rFonts w:ascii="Calibri" w:hAnsi="Calibri"/>
          <w:color w:val="1F4E79"/>
        </w:rPr>
        <w:t>1. Introducción</w:t>
      </w:r>
    </w:p>
    <w:p>
      <w:pPr>
        <w:pStyle w:val="Heading2"/>
      </w:pPr>
      <w:r>
        <w:rPr>
          <w:rFonts w:ascii="Calibri" w:hAnsi="Calibri"/>
          <w:color w:val="1F4E79"/>
        </w:rPr>
        <w:t>1.1 Propósito</w:t>
      </w:r>
    </w:p>
    <w:p>
      <w:pPr>
        <w:spacing w:after="120" w:line="276" w:lineRule="auto"/>
      </w:pPr>
      <w:r>
        <w:rPr>
          <w:b w:val="0"/>
          <w:i w:val="0"/>
          <w:sz w:val="22"/>
        </w:rPr>
        <w:t>Este documento describe la arquitectura de DespliegaUML: cómo se descompone el sistema, qué decisiones de diseño rigen esa descomposición y cómo se relaciona la arquitectura con los requisitos del SRS. Se acompaña de los diagramas de componentes y de despliegue, que se generan automáticamente desde el propio modelo mediante la integración continua.</w:t>
      </w:r>
    </w:p>
    <w:p>
      <w:pPr>
        <w:pStyle w:val="Heading2"/>
      </w:pPr>
      <w:r>
        <w:rPr>
          <w:rFonts w:ascii="Calibri" w:hAnsi="Calibri"/>
          <w:color w:val="1F4E79"/>
        </w:rPr>
        <w:t>1.2 Alcance</w:t>
      </w:r>
    </w:p>
    <w:p>
      <w:pPr>
        <w:spacing w:after="120" w:line="276" w:lineRule="auto"/>
      </w:pPr>
      <w:r>
        <w:rPr>
          <w:b w:val="0"/>
          <w:i w:val="0"/>
          <w:sz w:val="22"/>
        </w:rPr>
        <w:t>Cubre la vista lógica, la vista de implementación y la vista de despliegue, que son las pertinentes para una aplicación de modelado con lógica determinista y despliegue estático. Se omite la vista de procesos porque el sistema no tiene concurrencia: cada operación se ejecuta de forma síncrona sobre el modelo en memoria.</w:t>
      </w:r>
    </w:p>
    <w:p>
      <w:pPr>
        <w:pStyle w:val="Heading2"/>
      </w:pPr>
      <w:r>
        <w:rPr>
          <w:rFonts w:ascii="Calibri" w:hAnsi="Calibri"/>
          <w:color w:val="1F4E79"/>
        </w:rPr>
        <w:t>1.3 Definición, siglas y abreviaturas</w:t>
      </w:r>
    </w:p>
    <w:p>
      <w:pPr>
        <w:spacing w:after="120" w:line="276" w:lineRule="auto"/>
      </w:pPr>
      <w:r>
        <w:rPr>
          <w:b w:val="0"/>
          <w:i w:val="0"/>
          <w:sz w:val="22"/>
        </w:rPr>
        <w:t>Las siglas empleadas son las definidas en el SRS: UML, CI (integración continua), ES5 ( ECMAScript 5, versión del lenguaje JavaScript admitida), SVG (formato vectorial de imagen) y DOM (modelo de objetos de documento).</w:t>
      </w:r>
    </w:p>
    <w:p>
      <w:pPr>
        <w:pStyle w:val="Heading2"/>
      </w:pPr>
      <w:r>
        <w:rPr>
          <w:rFonts w:ascii="Calibri" w:hAnsi="Calibri"/>
          <w:color w:val="1F4E79"/>
        </w:rPr>
        <w:t>1.4 Organización del documento</w:t>
      </w:r>
    </w:p>
    <w:p>
      <w:pPr>
        <w:spacing w:after="120" w:line="276" w:lineRule="auto"/>
      </w:pPr>
      <w:r>
        <w:rPr>
          <w:b w:val="0"/>
          <w:i w:val="0"/>
          <w:sz w:val="22"/>
        </w:rPr>
        <w:t>La sección 2 fija los objetivos y restricciones que condicionan el diseño. La sección 3 describe los casos de uso que la arquitectura debe soportar. Las secciones 4 a 6 presentan las tres vistas de la arquitectura. La sección 7 documenta las decisiones de diseño con sus alternativas descartadas, y la sección 8 cómo la arquitectura satisface los atributos de calidad.</w:t>
      </w:r>
    </w:p>
    <w:p>
      <w:r>
        <w:br w:type="page"/>
      </w:r>
    </w:p>
    <w:p>
      <w:pPr>
        <w:pStyle w:val="Heading1"/>
      </w:pPr>
      <w:r>
        <w:rPr>
          <w:rFonts w:ascii="Calibri" w:hAnsi="Calibri"/>
          <w:color w:val="1F4E79"/>
        </w:rPr>
        <w:t>2. Objetivos y restricciones arquitectónicas</w:t>
      </w:r>
    </w:p>
    <w:p>
      <w:pPr>
        <w:pStyle w:val="Heading2"/>
      </w:pPr>
      <w:r>
        <w:rPr>
          <w:rFonts w:ascii="Calibri" w:hAnsi="Calibri"/>
          <w:color w:val="1F4E79"/>
        </w:rPr>
        <w:t>2.1 Priorización de requerimientos</w:t>
      </w:r>
    </w:p>
    <w:p>
      <w:pPr>
        <w:spacing w:after="120" w:line="276" w:lineRule="auto"/>
      </w:pPr>
      <w:r>
        <w:rPr>
          <w:b w:val="0"/>
          <w:i w:val="0"/>
          <w:sz w:val="22"/>
        </w:rPr>
        <w:t>La prioridad de los requerimientos determina el orden de implementación. La tabla siguiente resume los requerimientos del SRS por prioridad.</w:t>
      </w:r>
    </w:p>
    <w:tbl>
      <w:tblPr>
        <w:tblStyle w:val="TableGrid"/>
        <w:tblW w:type="auto" w:w="0"/>
        <w:jc w:val="center"/>
        <w:tblLayout w:type="fixed"/>
        <w:tblLook w:firstColumn="1" w:firstRow="1" w:lastColumn="0" w:lastRow="0" w:noHBand="0" w:noVBand="1" w:val="04A0"/>
        <w:tblLayout w:type="fixed"/>
      </w:tblPr>
      <w:tblGrid>
        <w:gridCol w:w="1134"/>
        <w:gridCol w:w="3742"/>
        <w:gridCol w:w="4479"/>
      </w:tblGrid>
      <w:tr>
        <w:tc>
          <w:tcPr>
            <w:tcW w:type="dxa" w:w="1134"/>
            <w:shd w:val="clear" w:color="auto" w:fill="1F4E79"/>
          </w:tcPr>
          <w:p>
            <w:r/>
            <w:r>
              <w:rPr>
                <w:b/>
                <w:color w:val="FFFFFF"/>
                <w:sz w:val="19"/>
              </w:rPr>
              <w:t>Prioridad</w:t>
            </w:r>
          </w:p>
        </w:tc>
        <w:tc>
          <w:tcPr>
            <w:tcW w:type="dxa" w:w="3742"/>
            <w:shd w:val="clear" w:color="auto" w:fill="1F4E79"/>
          </w:tcPr>
          <w:p>
            <w:r/>
            <w:r>
              <w:rPr>
                <w:b/>
                <w:color w:val="FFFFFF"/>
                <w:sz w:val="19"/>
              </w:rPr>
              <w:t>Requerimientos</w:t>
            </w:r>
          </w:p>
        </w:tc>
        <w:tc>
          <w:tcPr>
            <w:tcW w:type="dxa" w:w="4479"/>
            <w:shd w:val="clear" w:color="auto" w:fill="1F4E79"/>
          </w:tcPr>
          <w:p>
            <w:r/>
            <w:r>
              <w:rPr>
                <w:b/>
                <w:color w:val="FFFFFF"/>
                <w:sz w:val="19"/>
              </w:rPr>
              <w:t>Implicación arquitectónica</w:t>
            </w:r>
          </w:p>
        </w:tc>
      </w:tr>
      <w:tr>
        <w:tc>
          <w:tcPr>
            <w:tcW w:type="dxa" w:w="1134"/>
          </w:tcPr>
          <w:p>
            <w:r/>
            <w:r>
              <w:rPr>
                <w:sz w:val="19"/>
              </w:rPr>
              <w:t>Alta</w:t>
            </w:r>
          </w:p>
        </w:tc>
        <w:tc>
          <w:tcPr>
            <w:tcW w:type="dxa" w:w="3742"/>
          </w:tcPr>
          <w:p>
            <w:r/>
            <w:r>
              <w:rPr>
                <w:sz w:val="19"/>
              </w:rPr>
              <w:t>RF-01 a RF-13, RF-14 a RF-20, RF-24, RF-25, RF-29 a RF-31, RF-35 a RF-37</w:t>
            </w:r>
          </w:p>
        </w:tc>
        <w:tc>
          <w:tcPr>
            <w:tcW w:type="dxa" w:w="4479"/>
          </w:tcPr>
          <w:p>
            <w:r/>
            <w:r>
              <w:rPr>
                <w:sz w:val="19"/>
              </w:rPr>
              <w:t>El modelo de dominio y el motor de validación se implementan primero; determinan la estructura de todo lo demás.</w:t>
            </w:r>
          </w:p>
        </w:tc>
      </w:tr>
      <w:tr>
        <w:tc>
          <w:tcPr>
            <w:tcW w:type="dxa" w:w="1134"/>
          </w:tcPr>
          <w:p>
            <w:r/>
            <w:r>
              <w:rPr>
                <w:sz w:val="19"/>
              </w:rPr>
              <w:t>Media</w:t>
            </w:r>
          </w:p>
        </w:tc>
        <w:tc>
          <w:tcPr>
            <w:tcW w:type="dxa" w:w="3742"/>
          </w:tcPr>
          <w:p>
            <w:r/>
            <w:r>
              <w:rPr>
                <w:sz w:val="19"/>
              </w:rPr>
              <w:t>RF-07, RF-10, RF-12, RF-16, RF-18, RF-23, RF-26, RF-32, RF-38, RF-39</w:t>
            </w:r>
          </w:p>
        </w:tc>
        <w:tc>
          <w:tcPr>
            <w:tcW w:type="dxa" w:w="4479"/>
          </w:tcPr>
          <w:p>
            <w:r/>
            <w:r>
              <w:rPr>
                <w:sz w:val="19"/>
              </w:rPr>
              <w:t>Funcionalidad de apoyo que puede añadirse sin alterar la arquitectura.</w:t>
            </w:r>
          </w:p>
        </w:tc>
      </w:tr>
      <w:tr>
        <w:tc>
          <w:tcPr>
            <w:tcW w:type="dxa" w:w="1134"/>
          </w:tcPr>
          <w:p>
            <w:r/>
            <w:r>
              <w:rPr>
                <w:sz w:val="19"/>
              </w:rPr>
              <w:t>Baja</w:t>
            </w:r>
          </w:p>
        </w:tc>
        <w:tc>
          <w:tcPr>
            <w:tcW w:type="dxa" w:w="3742"/>
          </w:tcPr>
          <w:p>
            <w:r/>
            <w:r>
              <w:rPr>
                <w:sz w:val="19"/>
              </w:rPr>
              <w:t>RF-11, RF-13, RF-33, RF-34</w:t>
            </w:r>
          </w:p>
        </w:tc>
        <w:tc>
          <w:tcPr>
            <w:tcW w:type="dxa" w:w="4479"/>
          </w:tcPr>
          <w:p>
            <w:r/>
            <w:r>
              <w:rPr>
                <w:sz w:val="19"/>
              </w:rPr>
              <w:t>Optimizaciones y comodidades de uso.</w:t>
            </w:r>
          </w:p>
        </w:tc>
      </w:tr>
    </w:tbl>
    <w:p>
      <w:pPr>
        <w:spacing w:after="80"/>
      </w:pPr>
    </w:p>
    <w:p>
      <w:pPr>
        <w:pStyle w:val="Heading2"/>
      </w:pPr>
      <w:r>
        <w:rPr>
          <w:rFonts w:ascii="Calibri" w:hAnsi="Calibri"/>
          <w:color w:val="1F4E79"/>
        </w:rPr>
        <w:t>2.2 Restricciones</w:t>
      </w:r>
    </w:p>
    <w:p>
      <w:pPr>
        <w:pStyle w:val="ListBullet"/>
        <w:spacing w:after="60"/>
        <w:ind w:left="340"/>
      </w:pPr>
      <w:r>
        <w:rPr>
          <w:sz w:val="22"/>
        </w:rPr>
        <w:t>Sin dependencias externas ni paso de compilación.</w:t>
      </w:r>
    </w:p>
    <w:p>
      <w:pPr>
        <w:pStyle w:val="ListBullet"/>
        <w:spacing w:after="60"/>
        <w:ind w:left="340"/>
      </w:pPr>
      <w:r>
        <w:rPr>
          <w:sz w:val="22"/>
        </w:rPr>
        <w:t>Compatible con navegadores que soporten ES5.</w:t>
      </w:r>
    </w:p>
    <w:p>
      <w:pPr>
        <w:pStyle w:val="ListBullet"/>
        <w:spacing w:after="60"/>
        <w:ind w:left="340"/>
      </w:pPr>
      <w:r>
        <w:rPr>
          <w:sz w:val="22"/>
        </w:rPr>
        <w:t>La lógica de dominio debe ser ejecutable en Node.js, sin navegador.</w:t>
      </w:r>
    </w:p>
    <w:p>
      <w:pPr>
        <w:pStyle w:val="ListBullet"/>
        <w:spacing w:after="60"/>
        <w:ind w:left="340"/>
      </w:pPr>
      <w:r>
        <w:rPr>
          <w:sz w:val="22"/>
        </w:rPr>
        <w:t>La documentación técnica se genera desde el código por integración continua.</w:t>
      </w:r>
    </w:p>
    <w:p>
      <w:r>
        <w:br w:type="page"/>
      </w:r>
    </w:p>
    <w:p>
      <w:pPr>
        <w:pStyle w:val="Heading1"/>
      </w:pPr>
      <w:r>
        <w:rPr>
          <w:rFonts w:ascii="Calibri" w:hAnsi="Calibri"/>
          <w:color w:val="1F4E79"/>
        </w:rPr>
        <w:t>3. Vista de casos de uso</w:t>
      </w:r>
    </w:p>
    <w:p>
      <w:pPr>
        <w:pStyle w:val="Heading2"/>
      </w:pPr>
      <w:r>
        <w:rPr>
          <w:rFonts w:ascii="Calibri" w:hAnsi="Calibri"/>
          <w:color w:val="1F4E79"/>
        </w:rPr>
        <w:t>3.1 Actores</w:t>
      </w:r>
    </w:p>
    <w:tbl>
      <w:tblPr>
        <w:tblStyle w:val="TableGrid"/>
        <w:tblW w:type="auto" w:w="0"/>
        <w:jc w:val="center"/>
        <w:tblLayout w:type="fixed"/>
        <w:tblLook w:firstColumn="1" w:firstRow="1" w:lastColumn="0" w:lastRow="0" w:noHBand="0" w:noVBand="1" w:val="04A0"/>
        <w:tblLayout w:type="fixed"/>
      </w:tblPr>
      <w:tblGrid>
        <w:gridCol w:w="2041"/>
        <w:gridCol w:w="7313"/>
      </w:tblGrid>
      <w:tr>
        <w:tc>
          <w:tcPr>
            <w:tcW w:type="dxa" w:w="2041"/>
            <w:shd w:val="clear" w:color="auto" w:fill="1F4E79"/>
          </w:tcPr>
          <w:p>
            <w:r/>
            <w:r>
              <w:rPr>
                <w:b/>
                <w:color w:val="FFFFFF"/>
                <w:sz w:val="19"/>
              </w:rPr>
              <w:t>Actor</w:t>
            </w:r>
          </w:p>
        </w:tc>
        <w:tc>
          <w:tcPr>
            <w:tcW w:type="dxa" w:w="7313"/>
            <w:shd w:val="clear" w:color="auto" w:fill="1F4E79"/>
          </w:tcPr>
          <w:p>
            <w:r/>
            <w:r>
              <w:rPr>
                <w:b/>
                <w:color w:val="FFFFFF"/>
                <w:sz w:val="19"/>
              </w:rPr>
              <w:t>Descripción</w:t>
            </w:r>
          </w:p>
        </w:tc>
      </w:tr>
      <w:tr>
        <w:tc>
          <w:tcPr>
            <w:tcW w:type="dxa" w:w="2041"/>
          </w:tcPr>
          <w:p>
            <w:r/>
            <w:r>
              <w:rPr>
                <w:sz w:val="19"/>
              </w:rPr>
              <w:t>Desarrollador</w:t>
            </w:r>
          </w:p>
        </w:tc>
        <w:tc>
          <w:tcPr>
            <w:tcW w:type="dxa" w:w="7313"/>
          </w:tcPr>
          <w:p>
            <w:r/>
            <w:r>
              <w:rPr>
                <w:sz w:val="19"/>
              </w:rPr>
              <w:t>Modela la arquitectura del sistema que está construyendo.</w:t>
            </w:r>
          </w:p>
        </w:tc>
      </w:tr>
      <w:tr>
        <w:tc>
          <w:tcPr>
            <w:tcW w:type="dxa" w:w="2041"/>
          </w:tcPr>
          <w:p>
            <w:r/>
            <w:r>
              <w:rPr>
                <w:sz w:val="19"/>
              </w:rPr>
              <w:t>Arquitecto</w:t>
            </w:r>
          </w:p>
        </w:tc>
        <w:tc>
          <w:tcPr>
            <w:tcW w:type="dxa" w:w="7313"/>
          </w:tcPr>
          <w:p>
            <w:r/>
            <w:r>
              <w:rPr>
                <w:sz w:val="19"/>
              </w:rPr>
              <w:t>Valida la coherencia del modelo antes de aprobar un despliegue.</w:t>
            </w:r>
          </w:p>
        </w:tc>
      </w:tr>
      <w:tr>
        <w:tc>
          <w:tcPr>
            <w:tcW w:type="dxa" w:w="2041"/>
          </w:tcPr>
          <w:p>
            <w:r/>
            <w:r>
              <w:rPr>
                <w:sz w:val="19"/>
              </w:rPr>
              <w:t>Docente evaluador</w:t>
            </w:r>
          </w:p>
        </w:tc>
        <w:tc>
          <w:tcPr>
            <w:tcW w:type="dxa" w:w="7313"/>
          </w:tcPr>
          <w:p>
            <w:r/>
            <w:r>
              <w:rPr>
                <w:sz w:val="19"/>
              </w:rPr>
              <w:t>Revisa la documentación y los resultados de la validación.</w:t>
            </w:r>
          </w:p>
        </w:tc>
      </w:tr>
    </w:tbl>
    <w:p>
      <w:pPr>
        <w:spacing w:after="80"/>
      </w:pPr>
    </w:p>
    <w:p>
      <w:pPr>
        <w:pStyle w:val="Heading2"/>
      </w:pPr>
      <w:r>
        <w:rPr>
          <w:rFonts w:ascii="Calibri" w:hAnsi="Calibri"/>
          <w:color w:val="1F4E79"/>
        </w:rPr>
        <w:t>3.2 Diagrama de casos de uso</w:t>
      </w:r>
    </w:p>
    <w:p>
      <w:pPr>
        <w:spacing w:after="120" w:line="276" w:lineRule="auto"/>
      </w:pPr>
      <w:r>
        <w:rPr>
          <w:b w:val="0"/>
          <w:i w:val="0"/>
          <w:sz w:val="22"/>
        </w:rPr>
        <w:t>El sistema tiene dos casos de uso principales, detallados en el SRS: «UC-01 Modelar el diagrama de componentes» y «UC-02 Validar el modelo y generar el plan de despliegue». Ambos comparten el mismo modelo de datos, de modo que la arquitectura los soporta con una única estructura interna.</w:t>
      </w:r>
    </w:p>
    <w:p>
      <w:r>
        <w:br w:type="page"/>
      </w:r>
    </w:p>
    <w:p>
      <w:pPr>
        <w:pStyle w:val="Heading1"/>
      </w:pPr>
      <w:r>
        <w:rPr>
          <w:rFonts w:ascii="Calibri" w:hAnsi="Calibri"/>
          <w:color w:val="1F4E79"/>
        </w:rPr>
        <w:t>4. Vista lógica</w:t>
      </w:r>
    </w:p>
    <w:p>
      <w:pPr>
        <w:pStyle w:val="Heading2"/>
      </w:pPr>
      <w:r>
        <w:rPr>
          <w:rFonts w:ascii="Calibri" w:hAnsi="Calibri"/>
          <w:color w:val="1F4E79"/>
        </w:rPr>
        <w:t>4.1 Descomposición en módulos</w:t>
      </w:r>
    </w:p>
    <w:p>
      <w:pPr>
        <w:spacing w:after="120" w:line="276" w:lineRule="auto"/>
      </w:pPr>
      <w:r>
        <w:rPr>
          <w:b w:val="0"/>
          <w:i w:val="0"/>
          <w:sz w:val="22"/>
        </w:rPr>
        <w:t>El sistema se descompone en dos capas con una dependencia unidireccional: la capa de presentación conoce a la capa de dominio, nunca al revés. La capa de dominio no importa nada del navegador, lo que la hace verificable de forma automatizada.</w:t>
      </w:r>
    </w:p>
    <w:tbl>
      <w:tblPr>
        <w:tblStyle w:val="TableGrid"/>
        <w:tblW w:type="auto" w:w="0"/>
        <w:jc w:val="center"/>
        <w:tblLayout w:type="fixed"/>
        <w:tblLook w:firstColumn="1" w:firstRow="1" w:lastColumn="0" w:lastRow="0" w:noHBand="0" w:noVBand="1" w:val="04A0"/>
        <w:tblLayout w:type="fixed"/>
      </w:tblPr>
      <w:tblGrid>
        <w:gridCol w:w="1701"/>
        <w:gridCol w:w="1247"/>
        <w:gridCol w:w="4535"/>
        <w:gridCol w:w="1871"/>
      </w:tblGrid>
      <w:tr>
        <w:tc>
          <w:tcPr>
            <w:tcW w:type="dxa" w:w="1701"/>
            <w:shd w:val="clear" w:color="auto" w:fill="1F4E79"/>
          </w:tcPr>
          <w:p>
            <w:r/>
            <w:r>
              <w:rPr>
                <w:b/>
                <w:color w:val="FFFFFF"/>
                <w:sz w:val="19"/>
              </w:rPr>
              <w:t>Módulo</w:t>
            </w:r>
          </w:p>
        </w:tc>
        <w:tc>
          <w:tcPr>
            <w:tcW w:type="dxa" w:w="1247"/>
            <w:shd w:val="clear" w:color="auto" w:fill="1F4E79"/>
          </w:tcPr>
          <w:p>
            <w:r/>
            <w:r>
              <w:rPr>
                <w:b/>
                <w:color w:val="FFFFFF"/>
                <w:sz w:val="19"/>
              </w:rPr>
              <w:t>Capa</w:t>
            </w:r>
          </w:p>
        </w:tc>
        <w:tc>
          <w:tcPr>
            <w:tcW w:type="dxa" w:w="4535"/>
            <w:shd w:val="clear" w:color="auto" w:fill="1F4E79"/>
          </w:tcPr>
          <w:p>
            <w:r/>
            <w:r>
              <w:rPr>
                <w:b/>
                <w:color w:val="FFFFFF"/>
                <w:sz w:val="19"/>
              </w:rPr>
              <w:t>Responsabilidad</w:t>
            </w:r>
          </w:p>
        </w:tc>
        <w:tc>
          <w:tcPr>
            <w:tcW w:type="dxa" w:w="1871"/>
            <w:shd w:val="clear" w:color="auto" w:fill="1F4E79"/>
          </w:tcPr>
          <w:p>
            <w:r/>
            <w:r>
              <w:rPr>
                <w:b/>
                <w:color w:val="FFFFFF"/>
                <w:sz w:val="19"/>
              </w:rPr>
              <w:t>Depende de</w:t>
            </w:r>
          </w:p>
        </w:tc>
      </w:tr>
      <w:tr>
        <w:tc>
          <w:tcPr>
            <w:tcW w:type="dxa" w:w="1701"/>
          </w:tcPr>
          <w:p>
            <w:r/>
            <w:r>
              <w:rPr>
                <w:sz w:val="19"/>
              </w:rPr>
              <w:t>modelo.js</w:t>
            </w:r>
          </w:p>
        </w:tc>
        <w:tc>
          <w:tcPr>
            <w:tcW w:type="dxa" w:w="1247"/>
          </w:tcPr>
          <w:p>
            <w:r/>
            <w:r>
              <w:rPr>
                <w:sz w:val="19"/>
              </w:rPr>
              <w:t>Dominio</w:t>
            </w:r>
          </w:p>
        </w:tc>
        <w:tc>
          <w:tcPr>
            <w:tcW w:type="dxa" w:w="4535"/>
          </w:tcPr>
          <w:p>
            <w:r/>
            <w:r>
              <w:rPr>
                <w:sz w:val="19"/>
              </w:rPr>
              <w:t>Entidades del modelo, índices y bajas en cascada.</w:t>
            </w:r>
          </w:p>
        </w:tc>
        <w:tc>
          <w:tcPr>
            <w:tcW w:type="dxa" w:w="1871"/>
          </w:tcPr>
          <w:p>
            <w:r/>
            <w:r>
              <w:rPr>
                <w:sz w:val="19"/>
              </w:rPr>
              <w:t>—</w:t>
            </w:r>
          </w:p>
        </w:tc>
      </w:tr>
      <w:tr>
        <w:tc>
          <w:tcPr>
            <w:tcW w:type="dxa" w:w="1701"/>
          </w:tcPr>
          <w:p>
            <w:r/>
            <w:r>
              <w:rPr>
                <w:sz w:val="19"/>
              </w:rPr>
              <w:t>reglas.js</w:t>
            </w:r>
          </w:p>
        </w:tc>
        <w:tc>
          <w:tcPr>
            <w:tcW w:type="dxa" w:w="1247"/>
          </w:tcPr>
          <w:p>
            <w:r/>
            <w:r>
              <w:rPr>
                <w:sz w:val="19"/>
              </w:rPr>
              <w:t>Dominio</w:t>
            </w:r>
          </w:p>
        </w:tc>
        <w:tc>
          <w:tcPr>
            <w:tcW w:type="dxa" w:w="4535"/>
          </w:tcPr>
          <w:p>
            <w:r/>
            <w:r>
              <w:rPr>
                <w:sz w:val="19"/>
              </w:rPr>
              <w:t>Catálogo de 19 reglas y motor que las evalúa.</w:t>
            </w:r>
          </w:p>
        </w:tc>
        <w:tc>
          <w:tcPr>
            <w:tcW w:type="dxa" w:w="1871"/>
          </w:tcPr>
          <w:p>
            <w:r/>
            <w:r>
              <w:rPr>
                <w:sz w:val="19"/>
              </w:rPr>
              <w:t>modelo.js</w:t>
            </w:r>
          </w:p>
        </w:tc>
      </w:tr>
      <w:tr>
        <w:tc>
          <w:tcPr>
            <w:tcW w:type="dxa" w:w="1701"/>
          </w:tcPr>
          <w:p>
            <w:r/>
            <w:r>
              <w:rPr>
                <w:sz w:val="19"/>
              </w:rPr>
              <w:t>plan.js</w:t>
            </w:r>
          </w:p>
        </w:tc>
        <w:tc>
          <w:tcPr>
            <w:tcW w:type="dxa" w:w="1247"/>
          </w:tcPr>
          <w:p>
            <w:r/>
            <w:r>
              <w:rPr>
                <w:sz w:val="19"/>
              </w:rPr>
              <w:t>Dominio</w:t>
            </w:r>
          </w:p>
        </w:tc>
        <w:tc>
          <w:tcPr>
            <w:tcW w:type="dxa" w:w="4535"/>
          </w:tcPr>
          <w:p>
            <w:r/>
            <w:r>
              <w:rPr>
                <w:sz w:val="19"/>
              </w:rPr>
              <w:t>Orden topológico, niveles, fases y render del plan.</w:t>
            </w:r>
          </w:p>
        </w:tc>
        <w:tc>
          <w:tcPr>
            <w:tcW w:type="dxa" w:w="1871"/>
          </w:tcPr>
          <w:p>
            <w:r/>
            <w:r>
              <w:rPr>
                <w:sz w:val="19"/>
              </w:rPr>
              <w:t>modelo.js, reglas.js</w:t>
            </w:r>
          </w:p>
        </w:tc>
      </w:tr>
      <w:tr>
        <w:tc>
          <w:tcPr>
            <w:tcW w:type="dxa" w:w="1701"/>
          </w:tcPr>
          <w:p>
            <w:r/>
            <w:r>
              <w:rPr>
                <w:sz w:val="19"/>
              </w:rPr>
              <w:t>puml.js</w:t>
            </w:r>
          </w:p>
        </w:tc>
        <w:tc>
          <w:tcPr>
            <w:tcW w:type="dxa" w:w="1247"/>
          </w:tcPr>
          <w:p>
            <w:r/>
            <w:r>
              <w:rPr>
                <w:sz w:val="19"/>
              </w:rPr>
              <w:t>Dominio</w:t>
            </w:r>
          </w:p>
        </w:tc>
        <w:tc>
          <w:tcPr>
            <w:tcW w:type="dxa" w:w="4535"/>
          </w:tcPr>
          <w:p>
            <w:r/>
            <w:r>
              <w:rPr>
                <w:sz w:val="19"/>
              </w:rPr>
              <w:t>Exportación e importación de PlantUML.</w:t>
            </w:r>
          </w:p>
        </w:tc>
        <w:tc>
          <w:tcPr>
            <w:tcW w:type="dxa" w:w="1871"/>
          </w:tcPr>
          <w:p>
            <w:r/>
            <w:r>
              <w:rPr>
                <w:sz w:val="19"/>
              </w:rPr>
              <w:t>modelo.js</w:t>
            </w:r>
          </w:p>
        </w:tc>
      </w:tr>
      <w:tr>
        <w:tc>
          <w:tcPr>
            <w:tcW w:type="dxa" w:w="1701"/>
          </w:tcPr>
          <w:p>
            <w:r/>
            <w:r>
              <w:rPr>
                <w:sz w:val="19"/>
              </w:rPr>
              <w:t>pruebas.js</w:t>
            </w:r>
          </w:p>
        </w:tc>
        <w:tc>
          <w:tcPr>
            <w:tcW w:type="dxa" w:w="1247"/>
          </w:tcPr>
          <w:p>
            <w:r/>
            <w:r>
              <w:rPr>
                <w:sz w:val="19"/>
              </w:rPr>
              <w:t>Dominio</w:t>
            </w:r>
          </w:p>
        </w:tc>
        <w:tc>
          <w:tcPr>
            <w:tcW w:type="dxa" w:w="4535"/>
          </w:tcPr>
          <w:p>
            <w:r/>
            <w:r>
              <w:rPr>
                <w:sz w:val="19"/>
              </w:rPr>
              <w:t>Micro-corredor de pruebas y fábricas de modelos.</w:t>
            </w:r>
          </w:p>
        </w:tc>
        <w:tc>
          <w:tcPr>
            <w:tcW w:type="dxa" w:w="1871"/>
          </w:tcPr>
          <w:p>
            <w:r/>
            <w:r>
              <w:rPr>
                <w:sz w:val="19"/>
              </w:rPr>
              <w:t>—</w:t>
            </w:r>
          </w:p>
        </w:tc>
      </w:tr>
      <w:tr>
        <w:tc>
          <w:tcPr>
            <w:tcW w:type="dxa" w:w="1701"/>
          </w:tcPr>
          <w:p>
            <w:r/>
            <w:r>
              <w:rPr>
                <w:sz w:val="19"/>
              </w:rPr>
              <w:t>vista.js</w:t>
            </w:r>
          </w:p>
        </w:tc>
        <w:tc>
          <w:tcPr>
            <w:tcW w:type="dxa" w:w="1247"/>
          </w:tcPr>
          <w:p>
            <w:r/>
            <w:r>
              <w:rPr>
                <w:sz w:val="19"/>
              </w:rPr>
              <w:t>Presentación</w:t>
            </w:r>
          </w:p>
        </w:tc>
        <w:tc>
          <w:tcPr>
            <w:tcW w:type="dxa" w:w="4535"/>
          </w:tcPr>
          <w:p>
            <w:r/>
            <w:r>
              <w:rPr>
                <w:sz w:val="19"/>
              </w:rPr>
              <w:t>Render de los dos diagramas en SVG.</w:t>
            </w:r>
          </w:p>
        </w:tc>
        <w:tc>
          <w:tcPr>
            <w:tcW w:type="dxa" w:w="1871"/>
          </w:tcPr>
          <w:p>
            <w:r/>
            <w:r>
              <w:rPr>
                <w:sz w:val="19"/>
              </w:rPr>
              <w:t>modelo.js</w:t>
            </w:r>
          </w:p>
        </w:tc>
      </w:tr>
      <w:tr>
        <w:tc>
          <w:tcPr>
            <w:tcW w:type="dxa" w:w="1701"/>
          </w:tcPr>
          <w:p>
            <w:r/>
            <w:r>
              <w:rPr>
                <w:sz w:val="19"/>
              </w:rPr>
              <w:t>almacen.js</w:t>
            </w:r>
          </w:p>
        </w:tc>
        <w:tc>
          <w:tcPr>
            <w:tcW w:type="dxa" w:w="1247"/>
          </w:tcPr>
          <w:p>
            <w:r/>
            <w:r>
              <w:rPr>
                <w:sz w:val="19"/>
              </w:rPr>
              <w:t>Presentación</w:t>
            </w:r>
          </w:p>
        </w:tc>
        <w:tc>
          <w:tcPr>
            <w:tcW w:type="dxa" w:w="4535"/>
          </w:tcPr>
          <w:p>
            <w:r/>
            <w:r>
              <w:rPr>
                <w:sz w:val="19"/>
              </w:rPr>
              <w:t>Persistencia local y descarga de archivos.</w:t>
            </w:r>
          </w:p>
        </w:tc>
        <w:tc>
          <w:tcPr>
            <w:tcW w:type="dxa" w:w="1871"/>
          </w:tcPr>
          <w:p>
            <w:r/>
            <w:r>
              <w:rPr>
                <w:sz w:val="19"/>
              </w:rPr>
              <w:t>modelo.js</w:t>
            </w:r>
          </w:p>
        </w:tc>
      </w:tr>
      <w:tr>
        <w:tc>
          <w:tcPr>
            <w:tcW w:type="dxa" w:w="1701"/>
          </w:tcPr>
          <w:p>
            <w:r/>
            <w:r>
              <w:rPr>
                <w:sz w:val="19"/>
              </w:rPr>
              <w:t>app.js</w:t>
            </w:r>
          </w:p>
        </w:tc>
        <w:tc>
          <w:tcPr>
            <w:tcW w:type="dxa" w:w="1247"/>
          </w:tcPr>
          <w:p>
            <w:r/>
            <w:r>
              <w:rPr>
                <w:sz w:val="19"/>
              </w:rPr>
              <w:t>Presentación</w:t>
            </w:r>
          </w:p>
        </w:tc>
        <w:tc>
          <w:tcPr>
            <w:tcW w:type="dxa" w:w="4535"/>
          </w:tcPr>
          <w:p>
            <w:r/>
            <w:r>
              <w:rPr>
                <w:sz w:val="19"/>
              </w:rPr>
              <w:t>Controlador de la interfaz y atajos de teclado.</w:t>
            </w:r>
          </w:p>
        </w:tc>
        <w:tc>
          <w:tcPr>
            <w:tcW w:type="dxa" w:w="1871"/>
          </w:tcPr>
          <w:p>
            <w:r/>
            <w:r>
              <w:rPr>
                <w:sz w:val="19"/>
              </w:rPr>
              <w:t>todos los anteriores</w:t>
            </w:r>
          </w:p>
        </w:tc>
      </w:tr>
    </w:tbl>
    <w:p>
      <w:pPr>
        <w:spacing w:after="80"/>
      </w:pPr>
    </w:p>
    <w:p>
      <w:pPr>
        <w:pStyle w:val="Heading2"/>
      </w:pPr>
      <w:r>
        <w:rPr>
          <w:rFonts w:ascii="Calibri" w:hAnsi="Calibri"/>
          <w:color w:val="1F4E79"/>
        </w:rPr>
        <w:t>4.2 Modelo de dominio</w:t>
      </w:r>
    </w:p>
    <w:p>
      <w:pPr>
        <w:spacing w:after="120" w:line="276" w:lineRule="auto"/>
      </w:pPr>
      <w:r>
        <w:rPr>
          <w:b w:val="0"/>
          <w:i w:val="0"/>
          <w:sz w:val="22"/>
        </w:rPr>
        <w:t>El modelo es un objeto con seis colecciones: componentes, conectores, nodos, artefactos, realizaciones y caminos. Los componentes contienen puertos, y los nodos pueden anidarse formando una jerarquía. La indexación se realiza en una sola pasada y produce cinco índices auxiliares que evitan la búsqueda lineal repetida durante la validación.</w:t>
      </w:r>
    </w:p>
    <w:p>
      <w:pPr>
        <w:pStyle w:val="Heading2"/>
      </w:pPr>
      <w:r>
        <w:rPr>
          <w:rFonts w:ascii="Calibri" w:hAnsi="Calibri"/>
          <w:color w:val="1F4E79"/>
        </w:rPr>
        <w:t>4.3 Diagrama de componentes</w:t>
      </w:r>
    </w:p>
    <w:p>
      <w:pPr>
        <w:spacing w:after="120" w:line="276" w:lineRule="auto"/>
      </w:pPr>
      <w:r>
        <w:rPr>
          <w:b w:val="0"/>
          <w:i w:val="0"/>
          <w:sz w:val="22"/>
        </w:rPr>
        <w:t>El diagrama de componentes del propio DespliegaUML se genera desde el modelo y se publica en el repositorio como imagen. Refleja la relación entre los módulos de la capa de dominio: el motor de reglas depende del modelo, y el generador de plan depende de ambos.</w:t>
      </w:r>
    </w:p>
    <w:p>
      <w:r>
        <w:br w:type="page"/>
      </w:r>
    </w:p>
    <w:p>
      <w:pPr>
        <w:pStyle w:val="Heading1"/>
      </w:pPr>
      <w:r>
        <w:rPr>
          <w:rFonts w:ascii="Calibri" w:hAnsi="Calibri"/>
          <w:color w:val="1F4E79"/>
        </w:rPr>
        <w:t>5. Vista de implementación</w:t>
      </w:r>
    </w:p>
    <w:p>
      <w:pPr>
        <w:pStyle w:val="Heading2"/>
      </w:pPr>
      <w:r>
        <w:rPr>
          <w:rFonts w:ascii="Calibri" w:hAnsi="Calibri"/>
          <w:color w:val="1F4E79"/>
        </w:rPr>
        <w:t>5.1 Estructura de archivos</w:t>
      </w:r>
    </w:p>
    <w:tbl>
      <w:tblPr>
        <w:tblStyle w:val="TableGrid"/>
        <w:tblW w:type="auto" w:w="0"/>
        <w:jc w:val="center"/>
        <w:tblLayout w:type="fixed"/>
        <w:tblLook w:firstColumn="1" w:firstRow="1" w:lastColumn="0" w:lastRow="0" w:noHBand="0" w:noVBand="1" w:val="04A0"/>
        <w:tblLayout w:type="fixed"/>
      </w:tblPr>
      <w:tblGrid>
        <w:gridCol w:w="3402"/>
        <w:gridCol w:w="5953"/>
      </w:tblGrid>
      <w:tr>
        <w:tc>
          <w:tcPr>
            <w:tcW w:type="dxa" w:w="3402"/>
            <w:shd w:val="clear" w:color="auto" w:fill="1F4E79"/>
          </w:tcPr>
          <w:p>
            <w:r/>
            <w:r>
              <w:rPr>
                <w:b/>
                <w:color w:val="FFFFFF"/>
                <w:sz w:val="19"/>
              </w:rPr>
              <w:t>Ruta</w:t>
            </w:r>
          </w:p>
        </w:tc>
        <w:tc>
          <w:tcPr>
            <w:tcW w:type="dxa" w:w="5953"/>
            <w:shd w:val="clear" w:color="auto" w:fill="1F4E79"/>
          </w:tcPr>
          <w:p>
            <w:r/>
            <w:r>
              <w:rPr>
                <w:b/>
                <w:color w:val="FFFFFF"/>
                <w:sz w:val="19"/>
              </w:rPr>
              <w:t>Contenido</w:t>
            </w:r>
          </w:p>
        </w:tc>
      </w:tr>
      <w:tr>
        <w:tc>
          <w:tcPr>
            <w:tcW w:type="dxa" w:w="3402"/>
          </w:tcPr>
          <w:p>
            <w:r/>
            <w:r>
              <w:rPr>
                <w:sz w:val="19"/>
              </w:rPr>
              <w:t>`app/index.html`</w:t>
            </w:r>
          </w:p>
        </w:tc>
        <w:tc>
          <w:tcPr>
            <w:tcW w:type="dxa" w:w="5953"/>
          </w:tcPr>
          <w:p>
            <w:r/>
            <w:r>
              <w:rPr>
                <w:sz w:val="19"/>
              </w:rPr>
              <w:t>Interfaz: barra de acciones, cuatro paneles, inspector y diálogo del plan.</w:t>
            </w:r>
          </w:p>
        </w:tc>
      </w:tr>
      <w:tr>
        <w:tc>
          <w:tcPr>
            <w:tcW w:type="dxa" w:w="3402"/>
          </w:tcPr>
          <w:p>
            <w:r/>
            <w:r>
              <w:rPr>
                <w:sz w:val="19"/>
              </w:rPr>
              <w:t>`app/css/estilos.css`</w:t>
            </w:r>
          </w:p>
        </w:tc>
        <w:tc>
          <w:tcPr>
            <w:tcW w:type="dxa" w:w="5953"/>
          </w:tcPr>
          <w:p>
            <w:r/>
            <w:r>
              <w:rPr>
                <w:sz w:val="19"/>
              </w:rPr>
              <w:t>Hoja de estilos, sin framework.</w:t>
            </w:r>
          </w:p>
        </w:tc>
      </w:tr>
      <w:tr>
        <w:tc>
          <w:tcPr>
            <w:tcW w:type="dxa" w:w="3402"/>
          </w:tcPr>
          <w:p>
            <w:r/>
            <w:r>
              <w:rPr>
                <w:sz w:val="19"/>
              </w:rPr>
              <w:t>`app/src/*.js`</w:t>
            </w:r>
          </w:p>
        </w:tc>
        <w:tc>
          <w:tcPr>
            <w:tcW w:type="dxa" w:w="5953"/>
          </w:tcPr>
          <w:p>
            <w:r/>
            <w:r>
              <w:rPr>
                <w:sz w:val="19"/>
              </w:rPr>
              <w:t>Módulos descritos en la vista lógica.</w:t>
            </w:r>
          </w:p>
        </w:tc>
      </w:tr>
      <w:tr>
        <w:tc>
          <w:tcPr>
            <w:tcW w:type="dxa" w:w="3402"/>
          </w:tcPr>
          <w:p>
            <w:r/>
            <w:r>
              <w:rPr>
                <w:sz w:val="19"/>
              </w:rPr>
              <w:t>`app/tests/casos.js`</w:t>
            </w:r>
          </w:p>
        </w:tc>
        <w:tc>
          <w:tcPr>
            <w:tcW w:type="dxa" w:w="5953"/>
          </w:tcPr>
          <w:p>
            <w:r/>
            <w:r>
              <w:rPr>
                <w:sz w:val="19"/>
              </w:rPr>
              <w:t>Suite de pruebas unitarias e integración.</w:t>
            </w:r>
          </w:p>
        </w:tc>
      </w:tr>
      <w:tr>
        <w:tc>
          <w:tcPr>
            <w:tcW w:type="dxa" w:w="3402"/>
          </w:tcPr>
          <w:p>
            <w:r/>
            <w:r>
              <w:rPr>
                <w:sz w:val="19"/>
              </w:rPr>
              <w:t>`app/tests/humo.html`</w:t>
            </w:r>
          </w:p>
        </w:tc>
        <w:tc>
          <w:tcPr>
            <w:tcW w:type="dxa" w:w="5953"/>
          </w:tcPr>
          <w:p>
            <w:r/>
            <w:r>
              <w:rPr>
                <w:sz w:val="19"/>
              </w:rPr>
              <w:t>Prueba de humo que ejercita el flujo de edición completo.</w:t>
            </w:r>
          </w:p>
        </w:tc>
      </w:tr>
      <w:tr>
        <w:tc>
          <w:tcPr>
            <w:tcW w:type="dxa" w:w="3402"/>
          </w:tcPr>
          <w:p>
            <w:r/>
            <w:r>
              <w:rPr>
                <w:sz w:val="19"/>
              </w:rPr>
              <w:t>`tools/generar-documentacion.js`</w:t>
            </w:r>
          </w:p>
        </w:tc>
        <w:tc>
          <w:tcPr>
            <w:tcW w:type="dxa" w:w="5953"/>
          </w:tcPr>
          <w:p>
            <w:r/>
            <w:r>
              <w:rPr>
                <w:sz w:val="19"/>
              </w:rPr>
              <w:t>Generador de diagramas y manuales técnicos.</w:t>
            </w:r>
          </w:p>
        </w:tc>
      </w:tr>
      <w:tr>
        <w:tc>
          <w:tcPr>
            <w:tcW w:type="dxa" w:w="3402"/>
          </w:tcPr>
          <w:p>
            <w:r/>
            <w:r>
              <w:rPr>
                <w:sz w:val="19"/>
              </w:rPr>
              <w:t>`doc/`</w:t>
            </w:r>
          </w:p>
        </w:tc>
        <w:tc>
          <w:tcPr>
            <w:tcW w:type="dxa" w:w="5953"/>
          </w:tcPr>
          <w:p>
            <w:r/>
            <w:r>
              <w:rPr>
                <w:sz w:val="19"/>
              </w:rPr>
              <w:t>Artefactos generados: diagramas SVG, plan, catálogo e informe de calidad.</w:t>
            </w:r>
          </w:p>
        </w:tc>
      </w:tr>
      <w:tr>
        <w:tc>
          <w:tcPr>
            <w:tcW w:type="dxa" w:w="3402"/>
          </w:tcPr>
          <w:p>
            <w:r/>
            <w:r>
              <w:rPr>
                <w:sz w:val="19"/>
              </w:rPr>
              <w:t>`.github/workflows/ci-cd.yml`</w:t>
            </w:r>
          </w:p>
        </w:tc>
        <w:tc>
          <w:tcPr>
            <w:tcW w:type="dxa" w:w="5953"/>
          </w:tcPr>
          <w:p>
            <w:r/>
            <w:r>
              <w:rPr>
                <w:sz w:val="19"/>
              </w:rPr>
              <w:t>Pipeline de integración continua y publicación.</w:t>
            </w:r>
          </w:p>
        </w:tc>
      </w:tr>
    </w:tbl>
    <w:p>
      <w:pPr>
        <w:spacing w:after="80"/>
      </w:pPr>
    </w:p>
    <w:p>
      <w:pPr>
        <w:pStyle w:val="Heading2"/>
      </w:pPr>
      <w:r>
        <w:rPr>
          <w:rFonts w:ascii="Calibri" w:hAnsi="Calibri"/>
          <w:color w:val="1F4E79"/>
        </w:rPr>
        <w:t>5.2 Correspondencia entre módulos y componentes</w:t>
      </w:r>
    </w:p>
    <w:p>
      <w:pPr>
        <w:spacing w:after="120" w:line="276" w:lineRule="auto"/>
      </w:pPr>
      <w:r>
        <w:rPr>
          <w:b w:val="0"/>
          <w:i w:val="0"/>
          <w:sz w:val="22"/>
        </w:rPr>
        <w:t>La correspondencia es directa: cada módulo de la vista lógica se corresponde con un archivo, y cada archivo con una responsabilidad. No hay código compartido entre módulos fuera del modelo de dominio.</w:t>
      </w:r>
    </w:p>
    <w:p>
      <w:pPr>
        <w:pStyle w:val="Heading2"/>
      </w:pPr>
      <w:r>
        <w:rPr>
          <w:rFonts w:ascii="Calibri" w:hAnsi="Calibri"/>
          <w:color w:val="1F4E79"/>
        </w:rPr>
        <w:t>5.3 Manejo de errores</w:t>
      </w:r>
    </w:p>
    <w:p>
      <w:pPr>
        <w:spacing w:after="120" w:line="276" w:lineRule="auto"/>
      </w:pPr>
      <w:r>
        <w:rPr>
          <w:b w:val="0"/>
          <w:i w:val="0"/>
          <w:sz w:val="22"/>
        </w:rPr>
        <w:t>El motor de reglas aísla cada regla en su propio bloque de ejecución: si una lanza una excepción, el fallo se registra como hallazgo y la evaluación continúa. La normalización del modelo garantiza que un archivo importado incompleto no provoque un error fatal.</w:t>
      </w:r>
    </w:p>
    <w:p>
      <w:r>
        <w:br w:type="page"/>
      </w:r>
    </w:p>
    <w:p>
      <w:pPr>
        <w:pStyle w:val="Heading1"/>
      </w:pPr>
      <w:r>
        <w:rPr>
          <w:rFonts w:ascii="Calibri" w:hAnsi="Calibri"/>
          <w:color w:val="1F4E79"/>
        </w:rPr>
        <w:t>6. Vista de despliegue</w:t>
      </w:r>
    </w:p>
    <w:p>
      <w:pPr>
        <w:pStyle w:val="Heading2"/>
      </w:pPr>
      <w:r>
        <w:rPr>
          <w:rFonts w:ascii="Calibri" w:hAnsi="Calibri"/>
          <w:color w:val="1F4E79"/>
        </w:rPr>
        <w:t>6.1 Topología de referencia</w:t>
      </w:r>
    </w:p>
    <w:p>
      <w:pPr>
        <w:spacing w:after="120" w:line="276" w:lineRule="auto"/>
      </w:pPr>
      <w:r>
        <w:rPr>
          <w:b w:val="0"/>
          <w:i w:val="0"/>
          <w:sz w:val="22"/>
        </w:rPr>
        <w:t>La aplicación es estática: no requiere servidor de aplicaciones ni base de datos. Se publica como sitio estático, lo que permite desplegarla en cualquier servicio de hosting sin configuración adicional.</w:t>
      </w:r>
    </w:p>
    <w:tbl>
      <w:tblPr>
        <w:tblStyle w:val="TableGrid"/>
        <w:tblW w:type="auto" w:w="0"/>
        <w:jc w:val="center"/>
        <w:tblLayout w:type="fixed"/>
        <w:tblLook w:firstColumn="1" w:firstRow="1" w:lastColumn="0" w:lastRow="0" w:noHBand="0" w:noVBand="1" w:val="04A0"/>
        <w:tblLayout w:type="fixed"/>
      </w:tblPr>
      <w:tblGrid>
        <w:gridCol w:w="2268"/>
        <w:gridCol w:w="3515"/>
        <w:gridCol w:w="3572"/>
      </w:tblGrid>
      <w:tr>
        <w:tc>
          <w:tcPr>
            <w:tcW w:type="dxa" w:w="2268"/>
            <w:shd w:val="clear" w:color="auto" w:fill="1F4E79"/>
          </w:tcPr>
          <w:p>
            <w:r/>
            <w:r>
              <w:rPr>
                <w:b/>
                <w:color w:val="FFFFFF"/>
                <w:sz w:val="19"/>
              </w:rPr>
              <w:t>Nodo</w:t>
            </w:r>
          </w:p>
        </w:tc>
        <w:tc>
          <w:tcPr>
            <w:tcW w:type="dxa" w:w="3515"/>
            <w:shd w:val="clear" w:color="auto" w:fill="1F4E79"/>
          </w:tcPr>
          <w:p>
            <w:r/>
            <w:r>
              <w:rPr>
                <w:b/>
                <w:color w:val="FFFFFF"/>
                <w:sz w:val="19"/>
              </w:rPr>
              <w:t>Función</w:t>
            </w:r>
          </w:p>
        </w:tc>
        <w:tc>
          <w:tcPr>
            <w:tcW w:type="dxa" w:w="3572"/>
            <w:shd w:val="clear" w:color="auto" w:fill="1F4E79"/>
          </w:tcPr>
          <w:p>
            <w:r/>
            <w:r>
              <w:rPr>
                <w:b/>
                <w:color w:val="FFFFFF"/>
                <w:sz w:val="19"/>
              </w:rPr>
              <w:t>Contenido</w:t>
            </w:r>
          </w:p>
        </w:tc>
      </w:tr>
      <w:tr>
        <w:tc>
          <w:tcPr>
            <w:tcW w:type="dxa" w:w="2268"/>
          </w:tcPr>
          <w:p>
            <w:r/>
            <w:r>
              <w:rPr>
                <w:sz w:val="19"/>
              </w:rPr>
              <w:t>Cliente (navegador)</w:t>
            </w:r>
          </w:p>
        </w:tc>
        <w:tc>
          <w:tcPr>
            <w:tcW w:type="dxa" w:w="3515"/>
          </w:tcPr>
          <w:p>
            <w:r/>
            <w:r>
              <w:rPr>
                <w:sz w:val="19"/>
              </w:rPr>
              <w:t>Ejecuta la capa de presentación y el motor de validación.</w:t>
            </w:r>
          </w:p>
        </w:tc>
        <w:tc>
          <w:tcPr>
            <w:tcW w:type="dxa" w:w="3572"/>
          </w:tcPr>
          <w:p>
            <w:r/>
            <w:r>
              <w:rPr>
                <w:sz w:val="19"/>
              </w:rPr>
              <w:t>index.html, estilos y módulos JavaScript.</w:t>
            </w:r>
          </w:p>
        </w:tc>
      </w:tr>
      <w:tr>
        <w:tc>
          <w:tcPr>
            <w:tcW w:type="dxa" w:w="2268"/>
          </w:tcPr>
          <w:p>
            <w:r/>
            <w:r>
              <w:rPr>
                <w:sz w:val="19"/>
              </w:rPr>
              <w:t>Repositorio git</w:t>
            </w:r>
          </w:p>
        </w:tc>
        <w:tc>
          <w:tcPr>
            <w:tcW w:type="dxa" w:w="3515"/>
          </w:tcPr>
          <w:p>
            <w:r/>
            <w:r>
              <w:rPr>
                <w:sz w:val="19"/>
              </w:rPr>
              <w:t>Almacena el código, la documentación y los informes.</w:t>
            </w:r>
          </w:p>
        </w:tc>
        <w:tc>
          <w:tcPr>
            <w:tcW w:type="dxa" w:w="3572"/>
          </w:tcPr>
          <w:p>
            <w:r/>
            <w:r>
              <w:rPr>
                <w:sz w:val="19"/>
              </w:rPr>
              <w:t>Historial completo y artefactos generados.</w:t>
            </w:r>
          </w:p>
        </w:tc>
      </w:tr>
      <w:tr>
        <w:tc>
          <w:tcPr>
            <w:tcW w:type="dxa" w:w="2268"/>
          </w:tcPr>
          <w:p>
            <w:r/>
            <w:r>
              <w:rPr>
                <w:sz w:val="19"/>
              </w:rPr>
              <w:t>Integración continua</w:t>
            </w:r>
          </w:p>
        </w:tc>
        <w:tc>
          <w:tcPr>
            <w:tcW w:type="dxa" w:w="3515"/>
          </w:tcPr>
          <w:p>
            <w:r/>
            <w:r>
              <w:rPr>
                <w:sz w:val="19"/>
              </w:rPr>
              <w:t>Verifica, genera documentación y publica.</w:t>
            </w:r>
          </w:p>
        </w:tc>
        <w:tc>
          <w:tcPr>
            <w:tcW w:type="dxa" w:w="3572"/>
          </w:tcPr>
          <w:p>
            <w:r/>
            <w:r>
              <w:rPr>
                <w:sz w:val="19"/>
              </w:rPr>
              <w:t>Ejecutores efímeros de GitHub Actions.</w:t>
            </w:r>
          </w:p>
        </w:tc>
      </w:tr>
      <w:tr>
        <w:tc>
          <w:tcPr>
            <w:tcW w:type="dxa" w:w="2268"/>
          </w:tcPr>
          <w:p>
            <w:r/>
            <w:r>
              <w:rPr>
                <w:sz w:val="19"/>
              </w:rPr>
              <w:t>Alojamiento estático</w:t>
            </w:r>
          </w:p>
        </w:tc>
        <w:tc>
          <w:tcPr>
            <w:tcW w:type="dxa" w:w="3515"/>
          </w:tcPr>
          <w:p>
            <w:r/>
            <w:r>
              <w:rPr>
                <w:sz w:val="19"/>
              </w:rPr>
              <w:t>Sirve la aplicación y la documentación al público.</w:t>
            </w:r>
          </w:p>
        </w:tc>
        <w:tc>
          <w:tcPr>
            <w:tcW w:type="dxa" w:w="3572"/>
          </w:tcPr>
          <w:p>
            <w:r/>
            <w:r>
              <w:rPr>
                <w:sz w:val="19"/>
              </w:rPr>
              <w:t>GitHub Pages.</w:t>
            </w:r>
          </w:p>
        </w:tc>
      </w:tr>
    </w:tbl>
    <w:p>
      <w:pPr>
        <w:spacing w:after="80"/>
      </w:pPr>
    </w:p>
    <w:p>
      <w:pPr>
        <w:pStyle w:val="Heading2"/>
      </w:pPr>
      <w:r>
        <w:rPr>
          <w:rFonts w:ascii="Calibri" w:hAnsi="Calibri"/>
          <w:color w:val="1F4E79"/>
        </w:rPr>
        <w:t>6.2 Proceso de despliegue</w:t>
      </w:r>
    </w:p>
    <w:p>
      <w:pPr>
        <w:pStyle w:val="ListNumber"/>
        <w:spacing w:after="60"/>
        <w:ind w:left="340"/>
      </w:pPr>
      <w:r>
        <w:rPr>
          <w:sz w:val="22"/>
        </w:rPr>
        <w:t>El desarrollador publica los cambios en la rama main.</w:t>
      </w:r>
    </w:p>
    <w:p>
      <w:pPr>
        <w:pStyle w:val="ListNumber"/>
        <w:spacing w:after="60"/>
        <w:ind w:left="340"/>
      </w:pPr>
      <w:r>
        <w:rPr>
          <w:sz w:val="22"/>
        </w:rPr>
        <w:t>La integración continua ejecuta la suite de pruebas; si falla, el proceso se detiene.</w:t>
      </w:r>
    </w:p>
    <w:p>
      <w:pPr>
        <w:pStyle w:val="ListNumber"/>
        <w:spacing w:after="60"/>
        <w:ind w:left="340"/>
      </w:pPr>
      <w:r>
        <w:rPr>
          <w:sz w:val="22"/>
        </w:rPr>
        <w:t>Se verifica que el modelo de ejemplo cumpla el catálogo completo de reglas.</w:t>
      </w:r>
    </w:p>
    <w:p>
      <w:pPr>
        <w:pStyle w:val="ListNumber"/>
        <w:spacing w:after="60"/>
        <w:ind w:left="340"/>
      </w:pPr>
      <w:r>
        <w:rPr>
          <w:sz w:val="22"/>
        </w:rPr>
        <w:t>Se regeneran los diagramas, el plan de despliegue, el manual técnico y el informe de calidad.</w:t>
      </w:r>
    </w:p>
    <w:p>
      <w:pPr>
        <w:pStyle w:val="ListNumber"/>
        <w:spacing w:after="60"/>
        <w:ind w:left="340"/>
      </w:pPr>
      <w:r>
        <w:rPr>
          <w:sz w:val="22"/>
        </w:rPr>
        <w:t>Los diagramas se renderizan a imagen SVG.</w:t>
      </w:r>
    </w:p>
    <w:p>
      <w:pPr>
        <w:pStyle w:val="ListNumber"/>
        <w:spacing w:after="60"/>
        <w:ind w:left="340"/>
      </w:pPr>
      <w:r>
        <w:rPr>
          <w:sz w:val="22"/>
        </w:rPr>
        <w:t>La aplicación y la documentación se publican en el alojamiento estático.</w:t>
      </w:r>
    </w:p>
    <w:p>
      <w:pPr>
        <w:pStyle w:val="Heading2"/>
      </w:pPr>
      <w:r>
        <w:rPr>
          <w:rFonts w:ascii="Calibri" w:hAnsi="Calibri"/>
          <w:color w:val="1F4E79"/>
        </w:rPr>
        <w:t>6.3 Plan de despliegue del modelo de ejemplo</w:t>
      </w:r>
    </w:p>
    <w:p>
      <w:pPr>
        <w:spacing w:after="120" w:line="276" w:lineRule="auto"/>
      </w:pPr>
      <w:r>
        <w:rPr>
          <w:b w:val="0"/>
          <w:i w:val="0"/>
          <w:sz w:val="22"/>
        </w:rPr>
        <w:t>Además de desplegar la propia aplicación, DespliegaUML genera el plan de despliegue de cualquier modelo que el usuario construya. El plan comprende la topología de nodos con su ficha técnica, el orden de despliegue por nivel de dependencia, una fase por nivel más la de verificación, y el registro de los supuestos pendientes. El plan completo del modelo de ejemplo está en el repositorio.</w:t>
      </w:r>
    </w:p>
    <w:p>
      <w:r>
        <w:br w:type="page"/>
      </w:r>
    </w:p>
    <w:p>
      <w:pPr>
        <w:pStyle w:val="Heading1"/>
      </w:pPr>
      <w:r>
        <w:rPr>
          <w:rFonts w:ascii="Calibri" w:hAnsi="Calibri"/>
          <w:color w:val="1F4E79"/>
        </w:rPr>
        <w:t>7. Decisiones de diseño</w:t>
      </w:r>
    </w:p>
    <w:tbl>
      <w:tblPr>
        <w:tblStyle w:val="TableGrid"/>
        <w:tblW w:type="auto" w:w="0"/>
        <w:jc w:val="center"/>
        <w:tblLayout w:type="fixed"/>
        <w:tblLook w:firstColumn="1" w:firstRow="1" w:lastColumn="0" w:lastRow="0" w:noHBand="0" w:noVBand="1" w:val="04A0"/>
        <w:tblLayout w:type="fixed"/>
      </w:tblPr>
      <w:tblGrid>
        <w:gridCol w:w="794"/>
        <w:gridCol w:w="2608"/>
        <w:gridCol w:w="2041"/>
        <w:gridCol w:w="3912"/>
      </w:tblGrid>
      <w:tr>
        <w:tc>
          <w:tcPr>
            <w:tcW w:type="dxa" w:w="794"/>
            <w:shd w:val="clear" w:color="auto" w:fill="1F4E79"/>
          </w:tcPr>
          <w:p>
            <w:r/>
            <w:r>
              <w:rPr>
                <w:b/>
                <w:color w:val="FFFFFF"/>
                <w:sz w:val="18"/>
              </w:rPr>
              <w:t>ID</w:t>
            </w:r>
          </w:p>
        </w:tc>
        <w:tc>
          <w:tcPr>
            <w:tcW w:type="dxa" w:w="2608"/>
            <w:shd w:val="clear" w:color="auto" w:fill="1F4E79"/>
          </w:tcPr>
          <w:p>
            <w:r/>
            <w:r>
              <w:rPr>
                <w:b/>
                <w:color w:val="FFFFFF"/>
                <w:sz w:val="18"/>
              </w:rPr>
              <w:t>Decisión</w:t>
            </w:r>
          </w:p>
        </w:tc>
        <w:tc>
          <w:tcPr>
            <w:tcW w:type="dxa" w:w="2041"/>
            <w:shd w:val="clear" w:color="auto" w:fill="1F4E79"/>
          </w:tcPr>
          <w:p>
            <w:r/>
            <w:r>
              <w:rPr>
                <w:b/>
                <w:color w:val="FFFFFF"/>
                <w:sz w:val="18"/>
              </w:rPr>
              <w:t>Alternativa descartada</w:t>
            </w:r>
          </w:p>
        </w:tc>
        <w:tc>
          <w:tcPr>
            <w:tcW w:type="dxa" w:w="3912"/>
            <w:shd w:val="clear" w:color="auto" w:fill="1F4E79"/>
          </w:tcPr>
          <w:p>
            <w:r/>
            <w:r>
              <w:rPr>
                <w:b/>
                <w:color w:val="FFFFFF"/>
                <w:sz w:val="18"/>
              </w:rPr>
              <w:t>Justificación</w:t>
            </w:r>
          </w:p>
        </w:tc>
      </w:tr>
      <w:tr>
        <w:tc>
          <w:tcPr>
            <w:tcW w:type="dxa" w:w="794"/>
          </w:tcPr>
          <w:p>
            <w:r/>
            <w:r>
              <w:rPr>
                <w:sz w:val="18"/>
              </w:rPr>
              <w:t>AD-01</w:t>
            </w:r>
          </w:p>
        </w:tc>
        <w:tc>
          <w:tcPr>
            <w:tcW w:type="dxa" w:w="2608"/>
          </w:tcPr>
          <w:p>
            <w:r/>
            <w:r>
              <w:rPr>
                <w:sz w:val="18"/>
              </w:rPr>
              <w:t>JavaScript ES5 sobre HTML5 y SVG, sin dependencias ni compilación.</w:t>
            </w:r>
          </w:p>
        </w:tc>
        <w:tc>
          <w:tcPr>
            <w:tcW w:type="dxa" w:w="2041"/>
          </w:tcPr>
          <w:p>
            <w:r/>
            <w:r>
              <w:rPr>
                <w:sz w:val="18"/>
              </w:rPr>
              <w:t>React o Vue con un empaquetador.</w:t>
            </w:r>
          </w:p>
        </w:tc>
        <w:tc>
          <w:tcPr>
            <w:tcW w:type="dxa" w:w="3912"/>
          </w:tcPr>
          <w:p>
            <w:r/>
            <w:r>
              <w:rPr>
                <w:sz w:val="18"/>
              </w:rPr>
              <w:t>La consigna exige que la aplicación funcione sin instalación: sin paso de compilación, abrir el archivo es suficiente y no hay riesgo de fallo en una demostración.</w:t>
            </w:r>
          </w:p>
        </w:tc>
      </w:tr>
      <w:tr>
        <w:tc>
          <w:tcPr>
            <w:tcW w:type="dxa" w:w="794"/>
          </w:tcPr>
          <w:p>
            <w:r/>
            <w:r>
              <w:rPr>
                <w:sz w:val="18"/>
              </w:rPr>
              <w:t>AD-02</w:t>
            </w:r>
          </w:p>
        </w:tc>
        <w:tc>
          <w:tcPr>
            <w:tcW w:type="dxa" w:w="2608"/>
          </w:tcPr>
          <w:p>
            <w:r/>
            <w:r>
              <w:rPr>
                <w:sz w:val="18"/>
              </w:rPr>
              <w:t>Separar la lógica de dominio de la representación.</w:t>
            </w:r>
          </w:p>
        </w:tc>
        <w:tc>
          <w:tcPr>
            <w:tcW w:type="dxa" w:w="2041"/>
          </w:tcPr>
          <w:p>
            <w:r/>
            <w:r>
              <w:rPr>
                <w:sz w:val="18"/>
              </w:rPr>
              <w:t>Escribir la validación acoplada al DOM.</w:t>
            </w:r>
          </w:p>
        </w:tc>
        <w:tc>
          <w:tcPr>
            <w:tcW w:type="dxa" w:w="3912"/>
          </w:tcPr>
          <w:p>
            <w:r/>
            <w:r>
              <w:rPr>
                <w:sz w:val="18"/>
              </w:rPr>
              <w:t>Permite probar el motor de forma automatizada en Node.js, sin navegador. De ahí que 64 de las pruebas se ejecuten en unos milisegundos.</w:t>
            </w:r>
          </w:p>
        </w:tc>
      </w:tr>
      <w:tr>
        <w:tc>
          <w:tcPr>
            <w:tcW w:type="dxa" w:w="794"/>
          </w:tcPr>
          <w:p>
            <w:r/>
            <w:r>
              <w:rPr>
                <w:sz w:val="18"/>
              </w:rPr>
              <w:t>AD-03</w:t>
            </w:r>
          </w:p>
        </w:tc>
        <w:tc>
          <w:tcPr>
            <w:tcW w:type="dxa" w:w="2608"/>
          </w:tcPr>
          <w:p>
            <w:r/>
            <w:r>
              <w:rPr>
                <w:sz w:val="18"/>
              </w:rPr>
              <w:t>El plan de despliegue se bloquea si el modelo tiene errores.</w:t>
            </w:r>
          </w:p>
        </w:tc>
        <w:tc>
          <w:tcPr>
            <w:tcW w:type="dxa" w:w="2041"/>
          </w:tcPr>
          <w:p>
            <w:r/>
            <w:r>
              <w:rPr>
                <w:sz w:val="18"/>
              </w:rPr>
              <w:t>Generar el plan con advertencias.</w:t>
            </w:r>
          </w:p>
        </w:tc>
        <w:tc>
          <w:tcPr>
            <w:tcW w:type="dxa" w:w="3912"/>
          </w:tcPr>
          <w:p>
            <w:r/>
            <w:r>
              <w:rPr>
                <w:sz w:val="18"/>
              </w:rPr>
              <w:t>Un plan generado a partir de un modelo inconsistente induce a desplegar algo que no se ha verificado.</w:t>
            </w:r>
          </w:p>
        </w:tc>
      </w:tr>
      <w:tr>
        <w:tc>
          <w:tcPr>
            <w:tcW w:type="dxa" w:w="794"/>
          </w:tcPr>
          <w:p>
            <w:r/>
            <w:r>
              <w:rPr>
                <w:sz w:val="18"/>
              </w:rPr>
              <w:t>AD-04</w:t>
            </w:r>
          </w:p>
        </w:tc>
        <w:tc>
          <w:tcPr>
            <w:tcW w:type="dxa" w:w="2608"/>
          </w:tcPr>
          <w:p>
            <w:r/>
            <w:r>
              <w:rPr>
                <w:sz w:val="18"/>
              </w:rPr>
              <w:t>El nivel de despliegue se calcula como «uno más el máximo nivel de las dependencias», resuelto en orden topológico.</w:t>
            </w:r>
          </w:p>
        </w:tc>
        <w:tc>
          <w:tcPr>
            <w:tcW w:type="dxa" w:w="2041"/>
          </w:tcPr>
          <w:p>
            <w:r/>
            <w:r>
              <w:rPr>
                <w:sz w:val="18"/>
              </w:rPr>
              <w:t>Iterar sobre los conectores hasta estabilizar el valor.</w:t>
            </w:r>
          </w:p>
        </w:tc>
        <w:tc>
          <w:tcPr>
            <w:tcW w:type="dxa" w:w="3912"/>
          </w:tcPr>
          <w:p>
            <w:r/>
            <w:r>
              <w:rPr>
                <w:sz w:val="18"/>
              </w:rPr>
              <w:t>Una sola pasada en orden topológico es suficiente y evita el cómputo inflado de niveles que producía la versión iterativa.</w:t>
            </w:r>
          </w:p>
        </w:tc>
      </w:tr>
      <w:tr>
        <w:tc>
          <w:tcPr>
            <w:tcW w:type="dxa" w:w="794"/>
          </w:tcPr>
          <w:p>
            <w:r/>
            <w:r>
              <w:rPr>
                <w:sz w:val="18"/>
              </w:rPr>
              <w:t>AD-05</w:t>
            </w:r>
          </w:p>
        </w:tc>
        <w:tc>
          <w:tcPr>
            <w:tcW w:type="dxa" w:w="2608"/>
          </w:tcPr>
          <w:p>
            <w:r/>
            <w:r>
              <w:rPr>
                <w:sz w:val="18"/>
              </w:rPr>
              <w:t>La documentación se genera desde el código.</w:t>
            </w:r>
          </w:p>
        </w:tc>
        <w:tc>
          <w:tcPr>
            <w:tcW w:type="dxa" w:w="2041"/>
          </w:tcPr>
          <w:p>
            <w:r/>
            <w:r>
              <w:rPr>
                <w:sz w:val="18"/>
              </w:rPr>
              <w:t>Redactar y mantener la documentación a mano.</w:t>
            </w:r>
          </w:p>
        </w:tc>
        <w:tc>
          <w:tcPr>
            <w:tcW w:type="dxa" w:w="3912"/>
          </w:tcPr>
          <w:p>
            <w:r/>
            <w:r>
              <w:rPr>
                <w:sz w:val="18"/>
              </w:rPr>
              <w:t>Una documentación escrita a mano se desincroniza del código. Al generarla, el manual técnico y los diagramas siempre reflejan el estado real.</w:t>
            </w:r>
          </w:p>
        </w:tc>
      </w:tr>
      <w:tr>
        <w:tc>
          <w:tcPr>
            <w:tcW w:type="dxa" w:w="794"/>
          </w:tcPr>
          <w:p>
            <w:r/>
            <w:r>
              <w:rPr>
                <w:sz w:val="18"/>
              </w:rPr>
              <w:t>AD-06</w:t>
            </w:r>
          </w:p>
        </w:tc>
        <w:tc>
          <w:tcPr>
            <w:tcW w:type="dxa" w:w="2608"/>
          </w:tcPr>
          <w:p>
            <w:r/>
            <w:r>
              <w:rPr>
                <w:sz w:val="18"/>
              </w:rPr>
              <w:t>Interoperabilidad con PlantUML mediante metadatos en comentarios.</w:t>
            </w:r>
          </w:p>
        </w:tc>
        <w:tc>
          <w:tcPr>
            <w:tcW w:type="dxa" w:w="2041"/>
          </w:tcPr>
          <w:p>
            <w:r/>
            <w:r>
              <w:rPr>
                <w:sz w:val="18"/>
              </w:rPr>
              <w:t>Exportar sólo a JSON.</w:t>
            </w:r>
          </w:p>
        </w:tc>
        <w:tc>
          <w:tcPr>
            <w:tcW w:type="dxa" w:w="3912"/>
          </w:tcPr>
          <w:p>
            <w:r/>
            <w:r>
              <w:rPr>
                <w:sz w:val="18"/>
              </w:rPr>
              <w:t>Permite obtener la imagen oficial de UML con la notación estándar, y a la vez reimportar el archivo sin pérdida.</w:t>
            </w:r>
          </w:p>
        </w:tc>
      </w:tr>
    </w:tbl>
    <w:p>
      <w:pPr>
        <w:spacing w:after="80"/>
      </w:pPr>
    </w:p>
    <w:p>
      <w:r>
        <w:br w:type="page"/>
      </w:r>
    </w:p>
    <w:p>
      <w:pPr>
        <w:pStyle w:val="Heading1"/>
      </w:pPr>
      <w:r>
        <w:rPr>
          <w:rFonts w:ascii="Calibri" w:hAnsi="Calibri"/>
          <w:color w:val="1F4E79"/>
        </w:rPr>
        <w:t>8. Atributos de calidad</w:t>
      </w:r>
    </w:p>
    <w:p>
      <w:pPr>
        <w:spacing w:after="120" w:line="276" w:lineRule="auto"/>
      </w:pPr>
      <w:r>
        <w:rPr>
          <w:b w:val="0"/>
          <w:i w:val="0"/>
          <w:sz w:val="22"/>
        </w:rPr>
        <w:t>La sección 8.1 de la guía pide desplegar los requerimientos no funcionales como atributos de calidad medibles. La arquitectura los atiende así:</w:t>
      </w:r>
    </w:p>
    <w:tbl>
      <w:tblPr>
        <w:tblStyle w:val="TableGrid"/>
        <w:tblW w:type="auto" w:w="0"/>
        <w:jc w:val="center"/>
        <w:tblLayout w:type="fixed"/>
        <w:tblLook w:firstColumn="1" w:firstRow="1" w:lastColumn="0" w:lastRow="0" w:noHBand="0" w:noVBand="1" w:val="04A0"/>
        <w:tblLayout w:type="fixed"/>
      </w:tblPr>
      <w:tblGrid>
        <w:gridCol w:w="1587"/>
        <w:gridCol w:w="5102"/>
        <w:gridCol w:w="2665"/>
      </w:tblGrid>
      <w:tr>
        <w:tc>
          <w:tcPr>
            <w:tcW w:type="dxa" w:w="1587"/>
            <w:shd w:val="clear" w:color="auto" w:fill="1F4E79"/>
          </w:tcPr>
          <w:p>
            <w:r/>
            <w:r>
              <w:rPr>
                <w:b/>
                <w:color w:val="FFFFFF"/>
                <w:sz w:val="19"/>
              </w:rPr>
              <w:t>Atributo</w:t>
            </w:r>
          </w:p>
        </w:tc>
        <w:tc>
          <w:tcPr>
            <w:tcW w:type="dxa" w:w="5102"/>
            <w:shd w:val="clear" w:color="auto" w:fill="1F4E79"/>
          </w:tcPr>
          <w:p>
            <w:r/>
            <w:r>
              <w:rPr>
                <w:b/>
                <w:color w:val="FFFFFF"/>
                <w:sz w:val="19"/>
              </w:rPr>
              <w:t>Cómo lo atiende la arquitectura</w:t>
            </w:r>
          </w:p>
        </w:tc>
        <w:tc>
          <w:tcPr>
            <w:tcW w:type="dxa" w:w="2665"/>
            <w:shd w:val="clear" w:color="auto" w:fill="1F4E79"/>
          </w:tcPr>
          <w:p>
            <w:r/>
            <w:r>
              <w:rPr>
                <w:b/>
                <w:color w:val="FFFFFF"/>
                <w:sz w:val="19"/>
              </w:rPr>
              <w:t>Evidencia</w:t>
            </w:r>
          </w:p>
        </w:tc>
      </w:tr>
      <w:tr>
        <w:tc>
          <w:tcPr>
            <w:tcW w:type="dxa" w:w="1587"/>
          </w:tcPr>
          <w:p>
            <w:r/>
            <w:r>
              <w:rPr>
                <w:sz w:val="19"/>
              </w:rPr>
              <w:t>Portabilidad</w:t>
            </w:r>
          </w:p>
        </w:tc>
        <w:tc>
          <w:tcPr>
            <w:tcW w:type="dxa" w:w="5102"/>
          </w:tcPr>
          <w:p>
            <w:r/>
            <w:r>
              <w:rPr>
                <w:sz w:val="19"/>
              </w:rPr>
              <w:t>Sin dependencias ni compilación; la lógica de dominio es independiente del navegador.</w:t>
            </w:r>
          </w:p>
        </w:tc>
        <w:tc>
          <w:tcPr>
            <w:tcW w:type="dxa" w:w="2665"/>
          </w:tcPr>
          <w:p>
            <w:r/>
            <w:r>
              <w:rPr>
                <w:sz w:val="19"/>
              </w:rPr>
              <w:t>Se abre con doble clic; las pruebas corren en Node.</w:t>
            </w:r>
          </w:p>
        </w:tc>
      </w:tr>
      <w:tr>
        <w:tc>
          <w:tcPr>
            <w:tcW w:type="dxa" w:w="1587"/>
          </w:tcPr>
          <w:p>
            <w:r/>
            <w:r>
              <w:rPr>
                <w:sz w:val="19"/>
              </w:rPr>
              <w:t>Mantenibilidad</w:t>
            </w:r>
          </w:p>
        </w:tc>
        <w:tc>
          <w:tcPr>
            <w:tcW w:type="dxa" w:w="5102"/>
          </w:tcPr>
          <w:p>
            <w:r/>
            <w:r>
              <w:rPr>
                <w:sz w:val="19"/>
              </w:rPr>
              <w:t>Módulos con responsabilidad única y dependencia unidireccional; la documentación se genera desde el código.</w:t>
            </w:r>
          </w:p>
        </w:tc>
        <w:tc>
          <w:tcPr>
            <w:tcW w:type="dxa" w:w="2665"/>
          </w:tcPr>
          <w:p>
            <w:r/>
            <w:r>
              <w:rPr>
                <w:sz w:val="19"/>
              </w:rPr>
              <w:t>Cobertura de pruebas por módulo.</w:t>
            </w:r>
          </w:p>
        </w:tc>
      </w:tr>
      <w:tr>
        <w:tc>
          <w:tcPr>
            <w:tcW w:type="dxa" w:w="1587"/>
          </w:tcPr>
          <w:p>
            <w:r/>
            <w:r>
              <w:rPr>
                <w:sz w:val="19"/>
              </w:rPr>
              <w:t>Fiabilidad</w:t>
            </w:r>
          </w:p>
        </w:tc>
        <w:tc>
          <w:tcPr>
            <w:tcW w:type="dxa" w:w="5102"/>
          </w:tcPr>
          <w:p>
            <w:r/>
            <w:r>
              <w:rPr>
                <w:sz w:val="19"/>
              </w:rPr>
              <w:t>Aislamiento de fallos por regla y normalización de modelos importados.</w:t>
            </w:r>
          </w:p>
        </w:tc>
        <w:tc>
          <w:tcPr>
            <w:tcW w:type="dxa" w:w="2665"/>
          </w:tcPr>
          <w:p>
            <w:r/>
            <w:r>
              <w:rPr>
                <w:sz w:val="19"/>
              </w:rPr>
              <w:t>Casos T-46 y T-10.</w:t>
            </w:r>
          </w:p>
        </w:tc>
      </w:tr>
      <w:tr>
        <w:tc>
          <w:tcPr>
            <w:tcW w:type="dxa" w:w="1587"/>
          </w:tcPr>
          <w:p>
            <w:r/>
            <w:r>
              <w:rPr>
                <w:sz w:val="19"/>
              </w:rPr>
              <w:t>Rendimiento</w:t>
            </w:r>
          </w:p>
        </w:tc>
        <w:tc>
          <w:tcPr>
            <w:tcW w:type="dxa" w:w="5102"/>
          </w:tcPr>
          <w:p>
            <w:r/>
            <w:r>
              <w:rPr>
                <w:sz w:val="19"/>
              </w:rPr>
              <w:t>Indexación en una sola pasada y evaluación de 19 reglas sin dependencias entre ellas.</w:t>
            </w:r>
          </w:p>
        </w:tc>
        <w:tc>
          <w:tcPr>
            <w:tcW w:type="dxa" w:w="2665"/>
          </w:tcPr>
          <w:p>
            <w:r/>
            <w:r>
              <w:rPr>
                <w:sz w:val="19"/>
              </w:rPr>
              <w:t>Validación por debajo de 50 ms.</w:t>
            </w:r>
          </w:p>
        </w:tc>
      </w:tr>
      <w:tr>
        <w:tc>
          <w:tcPr>
            <w:tcW w:type="dxa" w:w="1587"/>
          </w:tcPr>
          <w:p>
            <w:r/>
            <w:r>
              <w:rPr>
                <w:sz w:val="19"/>
              </w:rPr>
              <w:t>Trazabilidad</w:t>
            </w:r>
          </w:p>
        </w:tc>
        <w:tc>
          <w:tcPr>
            <w:tcW w:type="dxa" w:w="5102"/>
          </w:tcPr>
          <w:p>
            <w:r/>
            <w:r>
              <w:rPr>
                <w:sz w:val="19"/>
              </w:rPr>
              <w:t>Identificadores estables en todos los elementos; cada hallazgo apunta a su elemento y a su regla.</w:t>
            </w:r>
          </w:p>
        </w:tc>
        <w:tc>
          <w:tcPr>
            <w:tcW w:type="dxa" w:w="2665"/>
          </w:tcPr>
          <w:p>
            <w:r/>
            <w:r>
              <w:rPr>
                <w:sz w:val="19"/>
              </w:rPr>
              <w:t>Casos de prueba por regla.</w:t>
            </w:r>
          </w:p>
        </w:tc>
      </w:tr>
      <w:tr>
        <w:tc>
          <w:tcPr>
            <w:tcW w:type="dxa" w:w="1587"/>
          </w:tcPr>
          <w:p>
            <w:r/>
            <w:r>
              <w:rPr>
                <w:sz w:val="19"/>
              </w:rPr>
              <w:t>Usabilidad</w:t>
            </w:r>
          </w:p>
        </w:tc>
        <w:tc>
          <w:tcPr>
            <w:tcW w:type="dxa" w:w="5102"/>
          </w:tcPr>
          <w:p>
            <w:r/>
            <w:r>
              <w:rPr>
                <w:sz w:val="19"/>
              </w:rPr>
              <w:t>El modelo muestra siempre el estereotipo y el identificador; la validación marca los elementos directamente en el diagrama.</w:t>
            </w:r>
          </w:p>
        </w:tc>
        <w:tc>
          <w:tcPr>
            <w:tcW w:type="dxa" w:w="2665"/>
          </w:tcPr>
          <w:p>
            <w:r/>
            <w:r>
              <w:rPr>
                <w:sz w:val="19"/>
              </w:rPr>
              <w:t>Verificación visual.</w:t>
            </w:r>
          </w:p>
        </w:tc>
      </w:tr>
      <w:tr>
        <w:tc>
          <w:tcPr>
            <w:tcW w:type="dxa" w:w="1587"/>
          </w:tcPr>
          <w:p>
            <w:r/>
            <w:r>
              <w:rPr>
                <w:sz w:val="19"/>
              </w:rPr>
              <w:t>Seguridad</w:t>
            </w:r>
          </w:p>
        </w:tc>
        <w:tc>
          <w:tcPr>
            <w:tcW w:type="dxa" w:w="5102"/>
          </w:tcPr>
          <w:p>
            <w:r/>
            <w:r>
              <w:rPr>
                <w:sz w:val="19"/>
              </w:rPr>
              <w:t>El sistema no procesa entrada no confiable más allá del modelo importado, que se normaliza y se valida antes de usarse.</w:t>
            </w:r>
          </w:p>
        </w:tc>
        <w:tc>
          <w:tcPr>
            <w:tcW w:type="dxa" w:w="2665"/>
          </w:tcPr>
          <w:p>
            <w:r/>
            <w:r>
              <w:rPr>
                <w:sz w:val="19"/>
              </w:rPr>
              <w:t>Normalización previa a la validación.</w:t>
            </w:r>
          </w:p>
        </w:tc>
      </w:tr>
    </w:tbl>
    <w:p>
      <w:pPr>
        <w:spacing w:after="80"/>
      </w:pP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