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Development of a Genome Assembly Algorithm</w:t>
      </w:r>
    </w:p>
    <w:p>
      <w:pPr>
        <w:jc w:val="center"/>
      </w:pPr>
      <w:r>
        <w:rPr>
          <w:b w:val="0"/>
          <w:sz w:val="30"/>
        </w:rPr>
        <w:t>for Reconstruction of Genomic Sequences from Short-Read Sequencing Data</w:t>
      </w:r>
    </w:p>
    <w:p/>
    <w:p>
      <w:pPr>
        <w:jc w:val="center"/>
      </w:pPr>
      <w:r>
        <w:rPr>
          <w:b/>
          <w:sz w:val="32"/>
        </w:rPr>
        <w:t>GenomeAssembler</w:t>
      </w:r>
    </w:p>
    <w:p/>
    <w:p>
      <w:pPr>
        <w:jc w:val="center"/>
      </w:pPr>
      <w:r>
        <w:rPr>
          <w:b w:val="0"/>
          <w:sz w:val="24"/>
        </w:rPr>
        <w:t>Advanced Programming for Bioinformatics — Project 1</w:t>
      </w:r>
    </w:p>
    <w:p>
      <w:pPr>
        <w:jc w:val="center"/>
      </w:pPr>
      <w:r>
        <w:rPr>
          <w:b w:val="0"/>
          <w:sz w:val="24"/>
        </w:rPr>
        <w:t>Addis Ababa University</w:t>
      </w:r>
    </w:p>
    <w:p>
      <w:pPr>
        <w:jc w:val="center"/>
      </w:pPr>
      <w:r>
        <w:rPr>
          <w:b w:val="0"/>
          <w:sz w:val="24"/>
        </w:rPr>
        <w:t>MSc Bioinformatics</w:t>
      </w:r>
    </w:p>
    <w:p/>
    <w:p>
      <w:pPr>
        <w:jc w:val="center"/>
      </w:pPr>
      <w:r>
        <w:rPr>
          <w:b/>
          <w:sz w:val="28"/>
        </w:rPr>
        <w:t>Final Technical Report</w:t>
      </w:r>
    </w:p>
    <w:p>
      <w:r>
        <w:br w:type="page"/>
      </w:r>
    </w:p>
    <w:p>
      <w:pPr>
        <w:pStyle w:val="Heading1"/>
      </w:pPr>
      <w:r>
        <w:t>1. Abstract</w:t>
      </w:r>
    </w:p>
    <w:p>
      <w:pPr>
        <w:spacing w:after="120"/>
      </w:pPr>
      <w:r>
        <w:t>Genome assembly is the computational reconstruction of genomic sequences from sequencing reads. Short-read assembly is challenging because sequencing errors, repetitive sequences, and insufficient sequencing depth can produce fragmented or incorrect assemblies. This project presents GenomeAssembler, an educational and experimental short-read genome assembler based on the de Bruijn graph approach.</w:t>
      </w:r>
    </w:p>
    <w:p>
      <w:pPr>
        <w:spacing w:after="120"/>
      </w:pPr>
      <w:r>
        <w:t>The assembler was implemented in Python using modular components for FASTQ parsing, k-mer generation and counting, de Bruijn graph construction, graph cleaning, graph traversal, contig generation, assembly evaluation, benchmarking, reference validation, and command-line execution. The implementation supports uncompressed and gzip-compressed FASTQ files as well as single-end and paired-end reads.</w:t>
      </w:r>
    </w:p>
    <w:p>
      <w:pPr>
        <w:spacing w:after="120"/>
      </w:pPr>
      <w:r>
        <w:t>The effect of k-mer size was evaluated using k=21, 31, 41, and 51 on a paired-end Escherichia coli dataset containing 50,000 read pairs. Increasing k reduced the number of contigs from 42,024 at k=21 to 34,418 at k=51, while average contig length increased from 97.18 bp to 112.54 bp. However, total assembly length and N50 decreased as k increased, demonstrating a k-mer-size trade-off.</w:t>
      </w:r>
    </w:p>
    <w:p>
      <w:pPr>
        <w:spacing w:after="120"/>
      </w:pPr>
      <w:r>
        <w:t>For k=51, assembly completed in 8 min 40.56 sec with approximately 5.76 GB peak resident memory and 99% CPU utilization. Reference-based validation showed that 99.90% of assembled contigs mapped to the E. coli MG1655 reference, covering 61.47% of the reference genome. Approximate sequence identity among aligned contig bases was 99.9868%. The results demonstrate a functional de Bruijn graph assembler while also identifying important scalability and graph-simplification limitations.</w:t>
      </w:r>
    </w:p>
    <w:p>
      <w:pPr>
        <w:pStyle w:val="Heading1"/>
      </w:pPr>
      <w:r>
        <w:t>2. Introduction</w:t>
      </w:r>
    </w:p>
    <w:p>
      <w:pPr>
        <w:spacing w:after="120"/>
      </w:pPr>
      <w:r>
        <w:t>Genome assembly is the process of reconstructing a genome sequence from sequencing reads. In short-read sequencing, the genome is represented by many relatively short DNA fragments. Computational assembly methods determine how these fragments connect to form longer sequences called contigs.</w:t>
      </w:r>
    </w:p>
    <w:p>
      <w:pPr>
        <w:spacing w:after="120"/>
      </w:pPr>
      <w:r>
        <w:t>The de Bruijn graph is a standard graph representation for short-read assembly. Reads are decomposed into k-mers, with each k-mer represented as an edge between its prefix and suffix, which are (k-1)-mers. The resulting graph can be simplified and traversed to reconstruct genomic sequences.</w:t>
      </w:r>
    </w:p>
    <w:p>
      <w:pPr>
        <w:spacing w:after="120"/>
      </w:pPr>
      <w:r>
        <w:t>The objective of this project was to develop a functional genome assembly algorithm using the de Bruijn graph approach while applying advanced programming concepts including object-oriented programming, graph data structures, hash-table-based indexing, modular architecture, complexity analysis, testing, benchmarking, command-line interfaces, and version control.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short-read genome assembly algorithm based on a de Bruijn graph.</w:t>
      </w:r>
    </w:p>
    <w:p>
      <w:pPr>
        <w:pStyle w:val="ListBullet"/>
      </w:pPr>
      <w:r>
        <w:t>Implement FASTQ input processing.</w:t>
      </w:r>
    </w:p>
    <w:p>
      <w:pPr>
        <w:pStyle w:val="ListBullet"/>
      </w:pPr>
      <w:r>
        <w:t>Generate and count k-mers using hash-based data structures.</w:t>
      </w:r>
    </w:p>
    <w:p>
      <w:pPr>
        <w:pStyle w:val="ListBullet"/>
      </w:pPr>
      <w:r>
        <w:t>Construct a de Bruijn graph using (k-1)-mers as nodes and k-mers as edges.</w:t>
      </w:r>
    </w:p>
    <w:p>
      <w:pPr>
        <w:pStyle w:val="ListBullet"/>
      </w:pPr>
      <w:r>
        <w:t>Remove low-frequency graph edges and short erroneous structures.</w:t>
      </w:r>
    </w:p>
    <w:p>
      <w:pPr>
        <w:pStyle w:val="ListBullet"/>
      </w:pPr>
      <w:r>
        <w:t>Traverse the cleaned graph to generate assembled contigs.</w:t>
      </w:r>
    </w:p>
    <w:p>
      <w:pPr>
        <w:pStyle w:val="ListBullet"/>
      </w:pPr>
      <w:r>
        <w:t>Produce contigs in FASTA format.</w:t>
      </w:r>
    </w:p>
    <w:p>
      <w:pPr>
        <w:pStyle w:val="ListBullet"/>
      </w:pPr>
      <w:r>
        <w:t>Calculate standard assembly metrics.</w:t>
      </w:r>
    </w:p>
    <w:p>
      <w:pPr>
        <w:pStyle w:val="ListBullet"/>
      </w:pPr>
      <w:r>
        <w:t>Investigate the effect of k-mer size.</w:t>
      </w:r>
    </w:p>
    <w:p>
      <w:pPr>
        <w:pStyle w:val="ListBullet"/>
      </w:pPr>
      <w:r>
        <w:t>Measure execution time and memory consumption.</w:t>
      </w:r>
    </w:p>
    <w:p>
      <w:pPr>
        <w:pStyle w:val="ListBullet"/>
      </w:pPr>
      <w:r>
        <w:t>Validate the assembly against a known reference genome.</w:t>
      </w:r>
    </w:p>
    <w:p>
      <w:pPr>
        <w:pStyle w:val="ListBullet"/>
      </w:pPr>
      <w:r>
        <w:t>Compare the prototype with an established assembler baseline.</w:t>
      </w:r>
    </w:p>
    <w:p>
      <w:pPr>
        <w:pStyle w:val="ListBullet"/>
      </w:pPr>
      <w:r>
        <w:t>Develop automated tests and a reproducible command-line workflow.</w:t>
      </w:r>
    </w:p>
    <w:p>
      <w:pPr>
        <w:pStyle w:val="Heading1"/>
      </w:pPr>
      <w:r>
        <w:t>4. System Design and Architecture</w:t>
      </w:r>
    </w:p>
    <w:p>
      <w:pPr>
        <w:spacing w:after="120"/>
      </w:pPr>
      <w:r>
        <w:t>The assembler was implemented as a modular Python package:</w:t>
      </w:r>
    </w:p>
    <w:p>
      <w:pPr>
        <w:spacing w:after="120"/>
      </w:pPr>
      <w:r>
        <w:t>src/assembler/fastq.py</w:t>
        <w:br/>
        <w:t>src/assembler/kmer.py</w:t>
        <w:br/>
        <w:t>src/assembler/graph.py</w:t>
        <w:br/>
        <w:t>src/assembler/cleaning.py</w:t>
        <w:br/>
        <w:t>src/assembler/traversal.py</w:t>
        <w:br/>
        <w:t>src/assembler/assembly.py</w:t>
        <w:br/>
        <w:t>src/assembler/evaluation.py</w:t>
        <w:br/>
        <w:t>src/assembler/pipeline.py</w:t>
        <w:br/>
        <w:t>src/assembler/benchmarking.py</w:t>
        <w:br/>
        <w:t>src/assembler/reference_validation.py</w:t>
        <w:br/>
        <w:t>src/assembler/cli.py</w:t>
      </w:r>
    </w:p>
    <w:p>
      <w:pPr>
        <w:spacing w:after="120"/>
      </w:pPr>
      <w:r>
        <w:t>Overall pipeline: FASTQ reads → validation → k-mer generation → k-mer counting → low-coverage filtering → de Bruijn graph → graph cleaning → traversal → contigs → FASTA → evaluation/reference validation/benchmarking.</w:t>
      </w:r>
    </w:p>
    <w:p>
      <w:pPr>
        <w:pStyle w:val="Heading1"/>
      </w:pPr>
      <w:r>
        <w:t>5. Methodology</w:t>
      </w:r>
    </w:p>
    <w:p>
      <w:pPr>
        <w:pStyle w:val="Heading2"/>
      </w:pPr>
      <w:r>
        <w:t>5.1 FASTQ Processing</w:t>
      </w:r>
    </w:p>
    <w:p>
      <w:pPr>
        <w:spacing w:after="120"/>
      </w:pPr>
      <w:r>
        <w:t>The FASTQ parser supports uncompressed and gzip-compressed files and single-end and paired-end input. Validation checks file existence, FASTQ record structure, the @ identifier, the + separator, and sequence/quality length consistency. Sequences are converted to uppercase.</w:t>
      </w:r>
    </w:p>
    <w:p>
      <w:pPr>
        <w:pStyle w:val="Heading2"/>
      </w:pPr>
      <w:r>
        <w:t>5.2 k-mer Generation and Counting</w:t>
      </w:r>
    </w:p>
    <w:p>
      <w:pPr>
        <w:spacing w:after="120"/>
      </w:pPr>
      <w:r>
        <w:t>For a sequence of length L and k-mer size k, L-k+1 k-mers are generated using a sliding window. Only A, C, G, and T k-mers are accepted. Python Counter is used as a hash-table-based k-mer index.</w:t>
      </w:r>
    </w:p>
    <w:p>
      <w:pPr>
        <w:pStyle w:val="Heading2"/>
      </w:pPr>
      <w:r>
        <w:t>5.3 de Bruijn Graph</w:t>
      </w:r>
    </w:p>
    <w:p>
      <w:pPr>
        <w:spacing w:after="120"/>
      </w:pPr>
      <w:r>
        <w:t>Nodes represent (k-1)-mers and edges represent k-mers. Edge coverage stores k-mer frequency. Outgoing adjacency dictionaries and reverse adjacency sets are maintained for graph traversal.</w:t>
      </w:r>
    </w:p>
    <w:p>
      <w:pPr>
        <w:pStyle w:val="Heading2"/>
      </w:pPr>
      <w:r>
        <w:t>5.4 Graph Cleaning</w:t>
      </w:r>
    </w:p>
    <w:p>
      <w:pPr>
        <w:spacing w:after="120"/>
      </w:pPr>
      <w:r>
        <w:t>Edges with coverage below the minimum threshold are removed. Short dead-end paths are also removed when they satisfy the configured tip-length condition and have lower coverage than a competing branch.</w:t>
      </w:r>
    </w:p>
    <w:p>
      <w:pPr>
        <w:pStyle w:val="Heading2"/>
      </w:pPr>
      <w:r>
        <w:t>5.5 Graph Traversal</w:t>
      </w:r>
    </w:p>
    <w:p>
      <w:pPr>
        <w:spacing w:after="120"/>
      </w:pPr>
      <w:r>
        <w:t>A visited-edge strategy identifies maximal non-branching paths. Paths are extended while the current node has exactly one predecessor and one outgoing edge. Remaining isolated cyclic structures are processed separately.</w:t>
      </w:r>
    </w:p>
    <w:p>
      <w:pPr>
        <w:pStyle w:val="Heading2"/>
      </w:pPr>
      <w:r>
        <w:t>5.6 Contig Generation</w:t>
      </w:r>
    </w:p>
    <w:p>
      <w:pPr>
        <w:spacing w:after="120"/>
      </w:pPr>
      <w:r>
        <w:t>The first graph node contributes the initial (k-1)-mer and each subsequent node contributes its final nucleotide. The resulting DNA sequence is written to FASTA.</w:t>
      </w:r>
    </w:p>
    <w:p>
      <w:pPr>
        <w:pStyle w:val="Heading1"/>
      </w:pPr>
      <w:r>
        <w:t>6. Experimental Setup</w:t>
      </w:r>
    </w:p>
    <w:p>
      <w:pPr>
        <w:spacing w:after="120"/>
      </w:pPr>
      <w:r>
        <w:t>The primary dataset was paired-end Escherichia coli K-12 MG1655 sequencing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r>
              <w:t>R1 reads</w:t>
            </w:r>
          </w:p>
        </w:tc>
        <w:tc>
          <w:tcPr>
            <w:tcW w:type="dxa" w:w="4824"/>
            <w:vAlign w:val="center"/>
          </w:tcPr>
          <w:p>
            <w:r>
              <w:t>50,000</w:t>
            </w:r>
          </w:p>
        </w:tc>
      </w:tr>
      <w:tr>
        <w:tc>
          <w:tcPr>
            <w:tcW w:type="dxa" w:w="4824"/>
            <w:vAlign w:val="center"/>
          </w:tcPr>
          <w:p>
            <w:r>
              <w:t>R2 reads</w:t>
            </w:r>
          </w:p>
        </w:tc>
        <w:tc>
          <w:tcPr>
            <w:tcW w:type="dxa" w:w="4824"/>
            <w:vAlign w:val="center"/>
          </w:tcPr>
          <w:p>
            <w:r>
              <w:t>50,000</w:t>
            </w:r>
          </w:p>
        </w:tc>
      </w:tr>
      <w:tr>
        <w:tc>
          <w:tcPr>
            <w:tcW w:type="dxa" w:w="4824"/>
            <w:vAlign w:val="center"/>
          </w:tcPr>
          <w:p>
            <w:r>
              <w:t>Total reads</w:t>
            </w:r>
          </w:p>
        </w:tc>
        <w:tc>
          <w:tcPr>
            <w:tcW w:type="dxa" w:w="4824"/>
            <w:vAlign w:val="center"/>
          </w:tcPr>
          <w:p>
            <w:r>
              <w:t>100,000</w:t>
            </w:r>
          </w:p>
        </w:tc>
      </w:tr>
      <w:tr>
        <w:tc>
          <w:tcPr>
            <w:tcW w:type="dxa" w:w="4824"/>
            <w:vAlign w:val="center"/>
          </w:tcPr>
          <w:p>
            <w:r>
              <w:t>Read length</w:t>
            </w:r>
          </w:p>
        </w:tc>
        <w:tc>
          <w:tcPr>
            <w:tcW w:type="dxa" w:w="4824"/>
            <w:vAlign w:val="center"/>
          </w:tcPr>
          <w:p>
            <w:r>
              <w:t>151 bp</w:t>
            </w:r>
          </w:p>
        </w:tc>
      </w:tr>
      <w:tr>
        <w:tc>
          <w:tcPr>
            <w:tcW w:type="dxa" w:w="4824"/>
            <w:vAlign w:val="center"/>
          </w:tcPr>
          <w:p>
            <w:r>
              <w:t>Reference</w:t>
            </w:r>
          </w:p>
        </w:tc>
        <w:tc>
          <w:tcPr>
            <w:tcW w:type="dxa" w:w="4824"/>
            <w:vAlign w:val="center"/>
          </w:tcPr>
          <w:p>
            <w:r>
              <w:t>NC_000913.3</w:t>
            </w:r>
          </w:p>
        </w:tc>
      </w:tr>
      <w:tr>
        <w:tc>
          <w:tcPr>
            <w:tcW w:type="dxa" w:w="4824"/>
            <w:vAlign w:val="center"/>
          </w:tcPr>
          <w:p>
            <w:r>
              <w:t>Reference length</w:t>
            </w:r>
          </w:p>
        </w:tc>
        <w:tc>
          <w:tcPr>
            <w:tcW w:type="dxa" w:w="4824"/>
            <w:vAlign w:val="center"/>
          </w:tcPr>
          <w:p>
            <w:r>
              <w:t>4,641,652 bp</w:t>
            </w:r>
          </w:p>
        </w:tc>
      </w:tr>
      <w:tr>
        <w:tc>
          <w:tcPr>
            <w:tcW w:type="dxa" w:w="4824"/>
            <w:vAlign w:val="center"/>
          </w:tcPr>
          <w:p>
            <w:r>
              <w:t>Minimum k-mer coverage</w:t>
            </w:r>
          </w:p>
        </w:tc>
        <w:tc>
          <w:tcPr>
            <w:tcW w:type="dxa" w:w="4824"/>
            <w:vAlign w:val="center"/>
          </w:tcPr>
          <w:p>
            <w:r>
              <w:t>2</w:t>
            </w:r>
          </w:p>
        </w:tc>
      </w:tr>
      <w:tr>
        <w:tc>
          <w:tcPr>
            <w:tcW w:type="dxa" w:w="4824"/>
            <w:vAlign w:val="center"/>
          </w:tcPr>
          <w:p>
            <w:r>
              <w:t>Tip length</w:t>
            </w:r>
          </w:p>
        </w:tc>
        <w:tc>
          <w:tcPr>
            <w:tcW w:type="dxa" w:w="4824"/>
            <w:vAlign w:val="center"/>
          </w:tcPr>
          <w:p>
            <w:r>
              <w:t>2</w:t>
            </w:r>
          </w:p>
        </w:tc>
      </w:tr>
      <w:tr>
        <w:tc>
          <w:tcPr>
            <w:tcW w:type="dxa" w:w="4824"/>
            <w:vAlign w:val="center"/>
          </w:tcPr>
          <w:p>
            <w:r>
              <w:t>Tested k values</w:t>
            </w:r>
          </w:p>
        </w:tc>
        <w:tc>
          <w:tcPr>
            <w:tcW w:type="dxa" w:w="4824"/>
            <w:vAlign w:val="center"/>
          </w:tcPr>
          <w:p>
            <w:r>
              <w:t>21, 31, 41, 51</w:t>
            </w:r>
          </w:p>
        </w:tc>
      </w:tr>
    </w:tbl>
    <w:p>
      <w:pPr>
        <w:pStyle w:val="Heading1"/>
      </w:pPr>
      <w:r>
        <w:t>7. Results</w:t>
      </w:r>
    </w:p>
    <w:p>
      <w:pPr>
        <w:pStyle w:val="Heading2"/>
      </w:pPr>
      <w:r>
        <w:t>7.1 Effect of k-mer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D9EAF7"/>
          </w:tcPr>
          <w:p>
            <w:r>
              <w:rPr>
                <w:b/>
              </w:rPr>
              <w:t>k</w:t>
            </w:r>
          </w:p>
        </w:tc>
        <w:tc>
          <w:tcPr>
            <w:tcW w:type="dxa" w:w="1608"/>
            <w:shd w:fill="D9EAF7"/>
          </w:tcPr>
          <w:p>
            <w:r>
              <w:rPr>
                <w:b/>
              </w:rPr>
              <w:t>Contigs</w:t>
            </w:r>
          </w:p>
        </w:tc>
        <w:tc>
          <w:tcPr>
            <w:tcW w:type="dxa" w:w="1608"/>
            <w:shd w:fill="D9EAF7"/>
          </w:tcPr>
          <w:p>
            <w:r>
              <w:rPr>
                <w:b/>
              </w:rPr>
              <w:t>Total bp</w:t>
            </w:r>
          </w:p>
        </w:tc>
        <w:tc>
          <w:tcPr>
            <w:tcW w:type="dxa" w:w="1608"/>
            <w:shd w:fill="D9EAF7"/>
          </w:tcPr>
          <w:p>
            <w:r>
              <w:rPr>
                <w:b/>
              </w:rPr>
              <w:t>Largest bp</w:t>
            </w:r>
          </w:p>
        </w:tc>
        <w:tc>
          <w:tcPr>
            <w:tcW w:type="dxa" w:w="1608"/>
            <w:shd w:fill="D9EAF7"/>
          </w:tcPr>
          <w:p>
            <w:r>
              <w:rPr>
                <w:b/>
              </w:rPr>
              <w:t>Average bp</w:t>
            </w:r>
          </w:p>
        </w:tc>
        <w:tc>
          <w:tcPr>
            <w:tcW w:type="dxa" w:w="1608"/>
            <w:shd w:fill="D9EAF7"/>
          </w:tcPr>
          <w:p>
            <w:r>
              <w:rPr>
                <w:b/>
              </w:rPr>
              <w:t>N50 bp</w:t>
            </w:r>
          </w:p>
        </w:tc>
      </w:tr>
      <w:tr>
        <w:tc>
          <w:tcPr>
            <w:tcW w:type="dxa" w:w="1608"/>
            <w:vAlign w:val="center"/>
          </w:tcPr>
          <w:p>
            <w:r>
              <w:t>21</w:t>
            </w:r>
          </w:p>
        </w:tc>
        <w:tc>
          <w:tcPr>
            <w:tcW w:type="dxa" w:w="1608"/>
            <w:vAlign w:val="center"/>
          </w:tcPr>
          <w:p>
            <w:r>
              <w:t>42,024</w:t>
            </w:r>
          </w:p>
        </w:tc>
        <w:tc>
          <w:tcPr>
            <w:tcW w:type="dxa" w:w="1608"/>
            <w:vAlign w:val="center"/>
          </w:tcPr>
          <w:p>
            <w:r>
              <w:t>4,084,017</w:t>
            </w:r>
          </w:p>
        </w:tc>
        <w:tc>
          <w:tcPr>
            <w:tcW w:type="dxa" w:w="1608"/>
            <w:vAlign w:val="center"/>
          </w:tcPr>
          <w:p>
            <w:r>
              <w:t>786</w:t>
            </w:r>
          </w:p>
        </w:tc>
        <w:tc>
          <w:tcPr>
            <w:tcW w:type="dxa" w:w="1608"/>
            <w:vAlign w:val="center"/>
          </w:tcPr>
          <w:p>
            <w:r>
              <w:t>97.18</w:t>
            </w:r>
          </w:p>
        </w:tc>
        <w:tc>
          <w:tcPr>
            <w:tcW w:type="dxa" w:w="1608"/>
            <w:vAlign w:val="center"/>
          </w:tcPr>
          <w:p>
            <w:r>
              <w:t>151</w:t>
            </w:r>
          </w:p>
        </w:tc>
      </w:tr>
      <w:tr>
        <w:tc>
          <w:tcPr>
            <w:tcW w:type="dxa" w:w="1608"/>
            <w:vAlign w:val="center"/>
          </w:tcPr>
          <w:p>
            <w:r>
              <w:t>31</w:t>
            </w:r>
          </w:p>
        </w:tc>
        <w:tc>
          <w:tcPr>
            <w:tcW w:type="dxa" w:w="1608"/>
            <w:vAlign w:val="center"/>
          </w:tcPr>
          <w:p>
            <w:r>
              <w:t>37,805</w:t>
            </w:r>
          </w:p>
        </w:tc>
        <w:tc>
          <w:tcPr>
            <w:tcW w:type="dxa" w:w="1608"/>
            <w:vAlign w:val="center"/>
          </w:tcPr>
          <w:p>
            <w:r>
              <w:t>3,996,942</w:t>
            </w:r>
          </w:p>
        </w:tc>
        <w:tc>
          <w:tcPr>
            <w:tcW w:type="dxa" w:w="1608"/>
            <w:vAlign w:val="center"/>
          </w:tcPr>
          <w:p>
            <w:r>
              <w:t>846</w:t>
            </w:r>
          </w:p>
        </w:tc>
        <w:tc>
          <w:tcPr>
            <w:tcW w:type="dxa" w:w="1608"/>
            <w:vAlign w:val="center"/>
          </w:tcPr>
          <w:p>
            <w:r>
              <w:t>105.73</w:t>
            </w:r>
          </w:p>
        </w:tc>
        <w:tc>
          <w:tcPr>
            <w:tcW w:type="dxa" w:w="1608"/>
            <w:vAlign w:val="center"/>
          </w:tcPr>
          <w:p>
            <w:r>
              <w:t>146</w:t>
            </w:r>
          </w:p>
        </w:tc>
      </w:tr>
      <w:tr>
        <w:tc>
          <w:tcPr>
            <w:tcW w:type="dxa" w:w="1608"/>
            <w:vAlign w:val="center"/>
          </w:tcPr>
          <w:p>
            <w:r>
              <w:t>41</w:t>
            </w:r>
          </w:p>
        </w:tc>
        <w:tc>
          <w:tcPr>
            <w:tcW w:type="dxa" w:w="1608"/>
            <w:vAlign w:val="center"/>
          </w:tcPr>
          <w:p>
            <w:r>
              <w:t>35,767</w:t>
            </w:r>
          </w:p>
        </w:tc>
        <w:tc>
          <w:tcPr>
            <w:tcW w:type="dxa" w:w="1608"/>
            <w:vAlign w:val="center"/>
          </w:tcPr>
          <w:p>
            <w:r>
              <w:t>3,932,085</w:t>
            </w:r>
          </w:p>
        </w:tc>
        <w:tc>
          <w:tcPr>
            <w:tcW w:type="dxa" w:w="1608"/>
            <w:vAlign w:val="center"/>
          </w:tcPr>
          <w:p>
            <w:r>
              <w:t>846</w:t>
            </w:r>
          </w:p>
        </w:tc>
        <w:tc>
          <w:tcPr>
            <w:tcW w:type="dxa" w:w="1608"/>
            <w:vAlign w:val="center"/>
          </w:tcPr>
          <w:p>
            <w:r>
              <w:t>109.94</w:t>
            </w:r>
          </w:p>
        </w:tc>
        <w:tc>
          <w:tcPr>
            <w:tcW w:type="dxa" w:w="1608"/>
            <w:vAlign w:val="center"/>
          </w:tcPr>
          <w:p>
            <w:r>
              <w:t>139</w:t>
            </w:r>
          </w:p>
        </w:tc>
      </w:tr>
      <w:tr>
        <w:tc>
          <w:tcPr>
            <w:tcW w:type="dxa" w:w="1608"/>
            <w:vAlign w:val="center"/>
          </w:tcPr>
          <w:p>
            <w:r>
              <w:t>51</w:t>
            </w:r>
          </w:p>
        </w:tc>
        <w:tc>
          <w:tcPr>
            <w:tcW w:type="dxa" w:w="1608"/>
            <w:vAlign w:val="center"/>
          </w:tcPr>
          <w:p>
            <w:r>
              <w:t>34,418</w:t>
            </w:r>
          </w:p>
        </w:tc>
        <w:tc>
          <w:tcPr>
            <w:tcW w:type="dxa" w:w="1608"/>
            <w:vAlign w:val="center"/>
          </w:tcPr>
          <w:p>
            <w:r>
              <w:t>3,873,375</w:t>
            </w:r>
          </w:p>
        </w:tc>
        <w:tc>
          <w:tcPr>
            <w:tcW w:type="dxa" w:w="1608"/>
            <w:vAlign w:val="center"/>
          </w:tcPr>
          <w:p>
            <w:r>
              <w:t>1,038</w:t>
            </w:r>
          </w:p>
        </w:tc>
        <w:tc>
          <w:tcPr>
            <w:tcW w:type="dxa" w:w="1608"/>
            <w:vAlign w:val="center"/>
          </w:tcPr>
          <w:p>
            <w:r>
              <w:t>112.54</w:t>
            </w:r>
          </w:p>
        </w:tc>
        <w:tc>
          <w:tcPr>
            <w:tcW w:type="dxa" w:w="1608"/>
            <w:vAlign w:val="center"/>
          </w:tcPr>
          <w:p>
            <w:r>
              <w:t>133</w:t>
            </w:r>
          </w:p>
        </w:tc>
      </w:tr>
    </w:tbl>
    <w:p>
      <w:pPr>
        <w:spacing w:after="120"/>
      </w:pPr>
      <w:r>
        <w:t>Increasing k reduced the number of contigs and increased average and largest contig length. At the same time, total assembly length and N50 decreased. These results demonstrate a trade-off between different assembly characteristics rather than a universally optimal k-mer size.</w:t>
      </w:r>
    </w:p>
    <w:p>
      <w:pPr>
        <w:pStyle w:val="Heading2"/>
      </w:pPr>
      <w:r>
        <w:t>7.2 Computational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k=51 result</w:t>
            </w:r>
          </w:p>
        </w:tc>
      </w:tr>
      <w:tr>
        <w:tc>
          <w:tcPr>
            <w:tcW w:type="dxa" w:w="4824"/>
            <w:vAlign w:val="center"/>
          </w:tcPr>
          <w:p>
            <w:r>
              <w:t>Wall-clock time</w:t>
            </w:r>
          </w:p>
        </w:tc>
        <w:tc>
          <w:tcPr>
            <w:tcW w:type="dxa" w:w="4824"/>
            <w:vAlign w:val="center"/>
          </w:tcPr>
          <w:p>
            <w:r>
              <w:t>8 min 40.56 sec</w:t>
            </w:r>
          </w:p>
        </w:tc>
      </w:tr>
      <w:tr>
        <w:tc>
          <w:tcPr>
            <w:tcW w:type="dxa" w:w="4824"/>
            <w:vAlign w:val="center"/>
          </w:tcPr>
          <w:p>
            <w:r>
              <w:t>CPU utilization</w:t>
            </w:r>
          </w:p>
        </w:tc>
        <w:tc>
          <w:tcPr>
            <w:tcW w:type="dxa" w:w="4824"/>
            <w:vAlign w:val="center"/>
          </w:tcPr>
          <w:p>
            <w:r>
              <w:t>99%</w:t>
            </w:r>
          </w:p>
        </w:tc>
      </w:tr>
      <w:tr>
        <w:tc>
          <w:tcPr>
            <w:tcW w:type="dxa" w:w="4824"/>
            <w:vAlign w:val="center"/>
          </w:tcPr>
          <w:p>
            <w:r>
              <w:t>Peak resident memory</w:t>
            </w:r>
          </w:p>
        </w:tc>
        <w:tc>
          <w:tcPr>
            <w:tcW w:type="dxa" w:w="4824"/>
            <w:vAlign w:val="center"/>
          </w:tcPr>
          <w:p>
            <w:r>
              <w:t>approximately 5.76 GB</w:t>
            </w:r>
          </w:p>
        </w:tc>
      </w:tr>
      <w:tr>
        <w:tc>
          <w:tcPr>
            <w:tcW w:type="dxa" w:w="4824"/>
            <w:vAlign w:val="center"/>
          </w:tcPr>
          <w:p>
            <w:r>
              <w:t>Exit status</w:t>
            </w:r>
          </w:p>
        </w:tc>
        <w:tc>
          <w:tcPr>
            <w:tcW w:type="dxa" w:w="4824"/>
            <w:vAlign w:val="center"/>
          </w:tcPr>
          <w:p>
            <w:r>
              <w:t>0</w:t>
            </w:r>
          </w:p>
        </w:tc>
      </w:tr>
    </w:tbl>
    <w:p>
      <w:pPr>
        <w:pStyle w:val="Heading2"/>
      </w:pPr>
      <w:r>
        <w:t>7.3 Reference-Based Validation</w:t>
      </w:r>
    </w:p>
    <w:p>
      <w:pPr>
        <w:spacing w:after="120"/>
      </w:pPr>
      <w:r>
        <w:t>Read-level validation: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</w:tcPr>
          <w:p>
            <w:r>
              <w:t>Primary reads</w:t>
            </w:r>
          </w:p>
        </w:tc>
        <w:tc>
          <w:tcPr>
            <w:tcW w:type="dxa" w:w="4824"/>
            <w:vAlign w:val="center"/>
          </w:tcPr>
          <w:p>
            <w:r>
              <w:t>100,000</w:t>
            </w:r>
          </w:p>
        </w:tc>
      </w:tr>
      <w:tr>
        <w:tc>
          <w:tcPr>
            <w:tcW w:type="dxa" w:w="4824"/>
            <w:vAlign w:val="center"/>
          </w:tcPr>
          <w:p>
            <w:r>
              <w:t>Mapped reads</w:t>
            </w:r>
          </w:p>
        </w:tc>
        <w:tc>
          <w:tcPr>
            <w:tcW w:type="dxa" w:w="4824"/>
            <w:vAlign w:val="center"/>
          </w:tcPr>
          <w:p>
            <w:r>
              <w:t>98,907</w:t>
            </w:r>
          </w:p>
        </w:tc>
      </w:tr>
      <w:tr>
        <w:tc>
          <w:tcPr>
            <w:tcW w:type="dxa" w:w="4824"/>
            <w:vAlign w:val="center"/>
          </w:tcPr>
          <w:p>
            <w:r>
              <w:t>Read mapping rate</w:t>
            </w:r>
          </w:p>
        </w:tc>
        <w:tc>
          <w:tcPr>
            <w:tcW w:type="dxa" w:w="4824"/>
            <w:vAlign w:val="center"/>
          </w:tcPr>
          <w:p>
            <w:r>
              <w:t>98.83%</w:t>
            </w:r>
          </w:p>
        </w:tc>
      </w:tr>
      <w:tr>
        <w:tc>
          <w:tcPr>
            <w:tcW w:type="dxa" w:w="4824"/>
            <w:vAlign w:val="center"/>
          </w:tcPr>
          <w:p>
            <w:r>
              <w:t>Properly paired</w:t>
            </w:r>
          </w:p>
        </w:tc>
        <w:tc>
          <w:tcPr>
            <w:tcW w:type="dxa" w:w="4824"/>
            <w:vAlign w:val="center"/>
          </w:tcPr>
          <w:p>
            <w:r>
              <w:t>97.95%</w:t>
            </w:r>
          </w:p>
        </w:tc>
      </w:tr>
      <w:tr>
        <w:tc>
          <w:tcPr>
            <w:tcW w:type="dxa" w:w="4824"/>
            <w:vAlign w:val="center"/>
          </w:tcPr>
          <w:p>
            <w:r>
              <w:t>Singletons</w:t>
            </w:r>
          </w:p>
        </w:tc>
        <w:tc>
          <w:tcPr>
            <w:tcW w:type="dxa" w:w="4824"/>
            <w:vAlign w:val="center"/>
          </w:tcPr>
          <w:p>
            <w:r>
              <w:t>0.40%</w:t>
            </w:r>
          </w:p>
        </w:tc>
      </w:tr>
      <w:tr>
        <w:tc>
          <w:tcPr>
            <w:tcW w:type="dxa" w:w="4824"/>
            <w:vAlign w:val="center"/>
          </w:tcPr>
          <w:p>
            <w:r>
              <w:t>Reference coverage by reads</w:t>
            </w:r>
          </w:p>
        </w:tc>
        <w:tc>
          <w:tcPr>
            <w:tcW w:type="dxa" w:w="4824"/>
            <w:vAlign w:val="center"/>
          </w:tcPr>
          <w:p>
            <w:r>
              <w:t>95.14%</w:t>
            </w:r>
          </w:p>
        </w:tc>
      </w:tr>
      <w:tr>
        <w:tc>
          <w:tcPr>
            <w:tcW w:type="dxa" w:w="4824"/>
            <w:vAlign w:val="center"/>
          </w:tcPr>
          <w:p>
            <w:r>
              <w:t>Mean read depth</w:t>
            </w:r>
          </w:p>
        </w:tc>
        <w:tc>
          <w:tcPr>
            <w:tcW w:type="dxa" w:w="4824"/>
            <w:vAlign w:val="center"/>
          </w:tcPr>
          <w:p>
            <w:r>
              <w:t>approximately 3.15×</w:t>
            </w:r>
          </w:p>
        </w:tc>
      </w:tr>
    </w:tbl>
    <w:p>
      <w:pPr>
        <w:spacing w:after="120"/>
      </w:pPr>
      <w:r>
        <w:t>k=51 contig validation: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</w:tcPr>
          <w:p>
            <w:r>
              <w:t>Primary contigs</w:t>
            </w:r>
          </w:p>
        </w:tc>
        <w:tc>
          <w:tcPr>
            <w:tcW w:type="dxa" w:w="4824"/>
            <w:vAlign w:val="center"/>
          </w:tcPr>
          <w:p>
            <w:r>
              <w:t>34,418</w:t>
            </w:r>
          </w:p>
        </w:tc>
      </w:tr>
      <w:tr>
        <w:tc>
          <w:tcPr>
            <w:tcW w:type="dxa" w:w="4824"/>
            <w:vAlign w:val="center"/>
          </w:tcPr>
          <w:p>
            <w:r>
              <w:t>Mapped contigs</w:t>
            </w:r>
          </w:p>
        </w:tc>
        <w:tc>
          <w:tcPr>
            <w:tcW w:type="dxa" w:w="4824"/>
            <w:vAlign w:val="center"/>
          </w:tcPr>
          <w:p>
            <w:r>
              <w:t>34,387</w:t>
            </w:r>
          </w:p>
        </w:tc>
      </w:tr>
      <w:tr>
        <w:tc>
          <w:tcPr>
            <w:tcW w:type="dxa" w:w="4824"/>
            <w:vAlign w:val="center"/>
          </w:tcPr>
          <w:p>
            <w:r>
              <w:t>Contig mapping rate</w:t>
            </w:r>
          </w:p>
        </w:tc>
        <w:tc>
          <w:tcPr>
            <w:tcW w:type="dxa" w:w="4824"/>
            <w:vAlign w:val="center"/>
          </w:tcPr>
          <w:p>
            <w:r>
              <w:t>99.90%</w:t>
            </w:r>
          </w:p>
        </w:tc>
      </w:tr>
      <w:tr>
        <w:tc>
          <w:tcPr>
            <w:tcW w:type="dxa" w:w="4824"/>
            <w:vAlign w:val="center"/>
          </w:tcPr>
          <w:p>
            <w:r>
              <w:t>Reference coverage</w:t>
            </w:r>
          </w:p>
        </w:tc>
        <w:tc>
          <w:tcPr>
            <w:tcW w:type="dxa" w:w="4824"/>
            <w:vAlign w:val="center"/>
          </w:tcPr>
          <w:p>
            <w:r>
              <w:t>61.47%</w:t>
            </w:r>
          </w:p>
        </w:tc>
      </w:tr>
      <w:tr>
        <w:tc>
          <w:tcPr>
            <w:tcW w:type="dxa" w:w="4824"/>
            <w:vAlign w:val="center"/>
          </w:tcPr>
          <w:p>
            <w:r>
              <w:t>Mean alignment depth</w:t>
            </w:r>
          </w:p>
        </w:tc>
        <w:tc>
          <w:tcPr>
            <w:tcW w:type="dxa" w:w="4824"/>
            <w:vAlign w:val="center"/>
          </w:tcPr>
          <w:p>
            <w:r>
              <w:t>0.834×</w:t>
            </w:r>
          </w:p>
        </w:tc>
      </w:tr>
      <w:tr>
        <w:tc>
          <w:tcPr>
            <w:tcW w:type="dxa" w:w="4824"/>
            <w:vAlign w:val="center"/>
          </w:tcPr>
          <w:p>
            <w:r>
              <w:t>Approximate identity</w:t>
            </w:r>
          </w:p>
        </w:tc>
        <w:tc>
          <w:tcPr>
            <w:tcW w:type="dxa" w:w="4824"/>
            <w:vAlign w:val="center"/>
          </w:tcPr>
          <w:p>
            <w:r>
              <w:t>99.9868%</w:t>
            </w:r>
          </w:p>
        </w:tc>
      </w:tr>
    </w:tbl>
    <w:p>
      <w:pPr>
        <w:spacing w:after="120"/>
      </w:pPr>
      <w:r>
        <w:t>The approximate identity is calculated from aggregate alignment edit distance among aligned contig bases. It is not a formal global assembly accuracy metric. Similarly, the 99.90% contig mapping rate should not be interpreted as 99.90% whole-genome accuracy.</w:t>
      </w:r>
    </w:p>
    <w:p>
      <w:pPr>
        <w:pStyle w:val="Heading1"/>
      </w:pPr>
      <w:r>
        <w:t>8. Scalability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</w:tcPr>
          <w:p>
            <w:r>
              <w:t>Unique k-mers at k=51</w:t>
            </w:r>
          </w:p>
        </w:tc>
        <w:tc>
          <w:tcPr>
            <w:tcW w:type="dxa" w:w="4824"/>
            <w:vAlign w:val="center"/>
          </w:tcPr>
          <w:p>
            <w:r>
              <w:t>7,034,865</w:t>
            </w:r>
          </w:p>
        </w:tc>
      </w:tr>
      <w:tr>
        <w:tc>
          <w:tcPr>
            <w:tcW w:type="dxa" w:w="4824"/>
            <w:vAlign w:val="center"/>
          </w:tcPr>
          <w:p>
            <w:r>
              <w:t>Total k-mer occurrences</w:t>
            </w:r>
          </w:p>
        </w:tc>
        <w:tc>
          <w:tcPr>
            <w:tcW w:type="dxa" w:w="4824"/>
            <w:vAlign w:val="center"/>
          </w:tcPr>
          <w:p>
            <w:r>
              <w:t>10,100,000</w:t>
            </w:r>
          </w:p>
        </w:tc>
      </w:tr>
      <w:tr>
        <w:tc>
          <w:tcPr>
            <w:tcW w:type="dxa" w:w="4824"/>
            <w:vAlign w:val="center"/>
          </w:tcPr>
          <w:p>
            <w:r>
              <w:t>Retained at minimum coverage 2</w:t>
            </w:r>
          </w:p>
        </w:tc>
        <w:tc>
          <w:tcPr>
            <w:tcW w:type="dxa" w:w="4824"/>
            <w:vAlign w:val="center"/>
          </w:tcPr>
          <w:p>
            <w:r>
              <w:t>2,152,496</w:t>
            </w:r>
          </w:p>
        </w:tc>
      </w:tr>
      <w:tr>
        <w:tc>
          <w:tcPr>
            <w:tcW w:type="dxa" w:w="4824"/>
            <w:vAlign w:val="center"/>
          </w:tcPr>
          <w:p>
            <w:r>
              <w:t>Singleton k-mers removed</w:t>
            </w:r>
          </w:p>
        </w:tc>
        <w:tc>
          <w:tcPr>
            <w:tcW w:type="dxa" w:w="4824"/>
            <w:vAlign w:val="center"/>
          </w:tcPr>
          <w:p>
            <w:r>
              <w:t>4,882,369</w:t>
            </w:r>
          </w:p>
        </w:tc>
      </w:tr>
    </w:tbl>
    <w:p>
      <w:pPr>
        <w:spacing w:after="120"/>
      </w:pPr>
      <w:r>
        <w:t>The minimum-coverage-1 assembly was started but terminated before completion. The exact cause could not be confirmed from available system diagnostics. The experiment nevertheless demonstrated the scalability limitation of the current implementation: Python dictionaries and sets have substantial memory overhead when millions of k-mers and graph structures are retained.</w:t>
      </w:r>
    </w:p>
    <w:p>
      <w:pPr>
        <w:pStyle w:val="Heading1"/>
      </w:pPr>
      <w:r>
        <w:t>9. Comparison with Established Assembler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</w:rPr>
              <w:t>Velvet baseline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</w:rPr>
              <w:t>GenomeAssembler k=51</w:t>
            </w:r>
          </w:p>
        </w:tc>
      </w:tr>
      <w:tr>
        <w:tc>
          <w:tcPr>
            <w:tcW w:type="dxa" w:w="3216"/>
            <w:vAlign w:val="center"/>
          </w:tcPr>
          <w:p>
            <w:r>
              <w:t>Contigs &gt;500 bp</w:t>
            </w:r>
          </w:p>
        </w:tc>
        <w:tc>
          <w:tcPr>
            <w:tcW w:type="dxa" w:w="3216"/>
            <w:vAlign w:val="center"/>
          </w:tcPr>
          <w:p>
            <w:r>
              <w:t>203</w:t>
            </w:r>
          </w:p>
        </w:tc>
        <w:tc>
          <w:tcPr>
            <w:tcW w:type="dxa" w:w="3216"/>
            <w:vAlign w:val="center"/>
          </w:tcPr>
          <w:p>
            <w:r>
              <w:t>Not directly equivalent</w:t>
            </w:r>
          </w:p>
        </w:tc>
      </w:tr>
      <w:tr>
        <w:tc>
          <w:tcPr>
            <w:tcW w:type="dxa" w:w="3216"/>
            <w:vAlign w:val="center"/>
          </w:tcPr>
          <w:p>
            <w:r>
              <w:t>Total assembly length</w:t>
            </w:r>
          </w:p>
        </w:tc>
        <w:tc>
          <w:tcPr>
            <w:tcW w:type="dxa" w:w="3216"/>
            <w:vAlign w:val="center"/>
          </w:tcPr>
          <w:p>
            <w:r>
              <w:t>4,536,804 bp</w:t>
            </w:r>
          </w:p>
        </w:tc>
        <w:tc>
          <w:tcPr>
            <w:tcW w:type="dxa" w:w="3216"/>
            <w:vAlign w:val="center"/>
          </w:tcPr>
          <w:p>
            <w:r>
              <w:t>3,873,375 bp</w:t>
            </w:r>
          </w:p>
        </w:tc>
      </w:tr>
      <w:tr>
        <w:tc>
          <w:tcPr>
            <w:tcW w:type="dxa" w:w="3216"/>
            <w:vAlign w:val="center"/>
          </w:tcPr>
          <w:p>
            <w:r>
              <w:t>Largest contig</w:t>
            </w:r>
          </w:p>
        </w:tc>
        <w:tc>
          <w:tcPr>
            <w:tcW w:type="dxa" w:w="3216"/>
            <w:vAlign w:val="center"/>
          </w:tcPr>
          <w:p>
            <w:r>
              <w:t>132,857 bp</w:t>
            </w:r>
          </w:p>
        </w:tc>
        <w:tc>
          <w:tcPr>
            <w:tcW w:type="dxa" w:w="3216"/>
            <w:vAlign w:val="center"/>
          </w:tcPr>
          <w:p>
            <w:r>
              <w:t>1,038 bp</w:t>
            </w:r>
          </w:p>
        </w:tc>
      </w:tr>
      <w:tr>
        <w:tc>
          <w:tcPr>
            <w:tcW w:type="dxa" w:w="3216"/>
            <w:vAlign w:val="center"/>
          </w:tcPr>
          <w:p>
            <w:r>
              <w:t>N50</w:t>
            </w:r>
          </w:p>
        </w:tc>
        <w:tc>
          <w:tcPr>
            <w:tcW w:type="dxa" w:w="3216"/>
            <w:vAlign w:val="center"/>
          </w:tcPr>
          <w:p>
            <w:r>
              <w:t>53,779 bp</w:t>
            </w:r>
          </w:p>
        </w:tc>
        <w:tc>
          <w:tcPr>
            <w:tcW w:type="dxa" w:w="3216"/>
            <w:vAlign w:val="center"/>
          </w:tcPr>
          <w:p>
            <w:r>
              <w:t>133 bp</w:t>
            </w:r>
          </w:p>
        </w:tc>
      </w:tr>
    </w:tbl>
    <w:p>
      <w:pPr>
        <w:spacing w:after="120"/>
      </w:pPr>
      <w:r>
        <w:t>The existing Velvet baseline is substantially less fragmented than the prototype results. However, the exact Velvet command and settings could not be recovered, so this is not treated as a controlled apples-to-apples benchmark. The comparison illustrates the gap between an educational prototype and a mature assembler with more sophisticated error correction, graph simplification, repeat resolution, and memory optimization.</w:t>
      </w:r>
    </w:p>
    <w:p>
      <w:pPr>
        <w:pStyle w:val="Heading1"/>
      </w:pPr>
      <w:r>
        <w:t>10. Testing and Software Quality</w:t>
      </w:r>
    </w:p>
    <w:p>
      <w:pPr>
        <w:spacing w:after="120"/>
      </w:pPr>
      <w:r>
        <w:t>The final automated test suite contains 23 tests, and all 23 tests passed. Tests cover FASTQ parsing, k-mer generation and counting, graph construction and cleaning, traversal, FASTA output, evaluation metrics, read incorporation, pipeline integration, benchmarking, and the command-line interface.</w:t>
      </w:r>
    </w:p>
    <w:p>
      <w:pPr>
        <w:spacing w:after="120"/>
      </w:pPr>
      <w:r>
        <w:t>The project was developed under Git version control using incremental commits. The final repository working tree was clean after the implementation and documentation were finalized.</w:t>
      </w:r>
    </w:p>
    <w:p>
      <w:pPr>
        <w:pStyle w:val="Heading1"/>
      </w:pPr>
      <w:r>
        <w:t>11. Discussion</w:t>
      </w:r>
    </w:p>
    <w:p>
      <w:pPr>
        <w:spacing w:after="120"/>
      </w:pPr>
      <w:r>
        <w:t>The implementation demonstrates the principal stages of short-read de Bruijn graph assembly. The k-mer experiments showed that increasing k changed graph connectivity and assembly fragmentation. Fewer contigs and longer average contigs were observed at larger k values, while N50 and total assembly length declined.</w:t>
      </w:r>
    </w:p>
    <w:p>
      <w:pPr>
        <w:spacing w:after="120"/>
      </w:pPr>
      <w:r>
        <w:t>Reference validation provided additional evidence that assembled sequences correspond to the target genome. The k=51 assembly had a high contig mapping rate and high approximate identity among aligned bases, but reference coverage was only 61.47%. Thus, sequence agreement among mapped contigs does not imply complete genome reconstruction.</w:t>
      </w:r>
    </w:p>
    <w:p>
      <w:pPr>
        <w:spacing w:after="120"/>
      </w:pPr>
      <w:r>
        <w:t>The low sequencing depth of the experimental subset also contributes to fragmentation. Finally, the scalability experiment demonstrated that the current Python data structures become costly as the number of unique k-mers increases.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High memory overhead from Python dictionaries and sets.</w:t>
      </w:r>
    </w:p>
    <w:p>
      <w:pPr>
        <w:pStyle w:val="ListBullet"/>
      </w:pPr>
      <w:r>
        <w:t>Substantial fragmentation on the low-depth E. coli dataset.</w:t>
      </w:r>
    </w:p>
    <w:p>
      <w:pPr>
        <w:pStyle w:val="ListBullet"/>
      </w:pPr>
      <w:r>
        <w:t>Limited graph simplification compared with production assemblers.</w:t>
      </w:r>
    </w:p>
    <w:p>
      <w:pPr>
        <w:pStyle w:val="ListBullet"/>
      </w:pPr>
      <w:r>
        <w:t>No sophisticated repeat resolution.</w:t>
      </w:r>
    </w:p>
    <w:p>
      <w:pPr>
        <w:pStyle w:val="ListBullet"/>
      </w:pPr>
      <w:r>
        <w:t>No explicit paired-end distance constraints during graph traversal.</w:t>
      </w:r>
    </w:p>
    <w:p>
      <w:pPr>
        <w:pStyle w:val="ListBullet"/>
      </w:pPr>
      <w:r>
        <w:t>No quality-based trimming or adapter removal inside the core assembler.</w:t>
      </w:r>
    </w:p>
    <w:p>
      <w:pPr>
        <w:pStyle w:val="ListBullet"/>
      </w:pPr>
      <w:r>
        <w:t>Limited error-correction strategies.</w:t>
      </w:r>
    </w:p>
    <w:p>
      <w:pPr>
        <w:pStyle w:val="ListBullet"/>
      </w:pPr>
      <w:r>
        <w:t>No bubble resolution.</w:t>
      </w:r>
    </w:p>
    <w:p>
      <w:pPr>
        <w:pStyle w:val="ListBullet"/>
      </w:pPr>
      <w:r>
        <w:t>Read-incorporation calculation can become expensive for large assemblies.</w:t>
      </w:r>
    </w:p>
    <w:p>
      <w:pPr>
        <w:pStyle w:val="ListBullet"/>
      </w:pPr>
      <w:r>
        <w:t>The prototype is not intended for production-scale genome assembly.</w:t>
      </w:r>
    </w:p>
    <w:p>
      <w:pPr>
        <w:pStyle w:val="Heading1"/>
      </w:pPr>
      <w:r>
        <w:t>13. Future Work</w:t>
      </w:r>
    </w:p>
    <w:p>
      <w:pPr>
        <w:pStyle w:val="ListBullet"/>
      </w:pPr>
      <w:r>
        <w:t>Compact numerical k-mer representations.</w:t>
      </w:r>
    </w:p>
    <w:p>
      <w:pPr>
        <w:pStyle w:val="ListBullet"/>
      </w:pPr>
      <w:r>
        <w:t>More memory-efficient graph structures.</w:t>
      </w:r>
    </w:p>
    <w:p>
      <w:pPr>
        <w:pStyle w:val="ListBullet"/>
      </w:pPr>
      <w:r>
        <w:t>Bloom filters or counting filters.</w:t>
      </w:r>
    </w:p>
    <w:p>
      <w:pPr>
        <w:pStyle w:val="ListBullet"/>
      </w:pPr>
      <w:r>
        <w:t>Stronger sequencing-error correction.</w:t>
      </w:r>
    </w:p>
    <w:p>
      <w:pPr>
        <w:pStyle w:val="ListBullet"/>
      </w:pPr>
      <w:r>
        <w:t>Bubble detection and resolution.</w:t>
      </w:r>
    </w:p>
    <w:p>
      <w:pPr>
        <w:pStyle w:val="ListBullet"/>
      </w:pPr>
      <w:r>
        <w:t>Repeat-aware graph traversal.</w:t>
      </w:r>
    </w:p>
    <w:p>
      <w:pPr>
        <w:pStyle w:val="ListBullet"/>
      </w:pPr>
      <w:r>
        <w:t>Explicit paired-end constraints.</w:t>
      </w:r>
    </w:p>
    <w:p>
      <w:pPr>
        <w:pStyle w:val="ListBullet"/>
      </w:pPr>
      <w:r>
        <w:t>Parallel k-mer counting.</w:t>
      </w:r>
    </w:p>
    <w:p>
      <w:pPr>
        <w:pStyle w:val="ListBullet"/>
      </w:pPr>
      <w:r>
        <w:t>Improved memory management.</w:t>
      </w:r>
    </w:p>
    <w:p>
      <w:pPr>
        <w:pStyle w:val="ListBullet"/>
      </w:pPr>
      <w:r>
        <w:t>Larger and higher-depth datasets.</w:t>
      </w:r>
    </w:p>
    <w:p>
      <w:pPr>
        <w:pStyle w:val="ListBullet"/>
      </w:pPr>
      <w:r>
        <w:t>Controlled comparison with established assemblers.</w:t>
      </w:r>
    </w:p>
    <w:p>
      <w:pPr>
        <w:pStyle w:val="ListBullet"/>
      </w:pPr>
      <w:r>
        <w:t>Additional assembly-quality and misassembly metrics.</w:t>
      </w:r>
    </w:p>
    <w:p>
      <w:pPr>
        <w:pStyle w:val="Heading1"/>
      </w:pPr>
      <w:r>
        <w:t>14. Conclusion</w:t>
      </w:r>
    </w:p>
    <w:p>
      <w:pPr>
        <w:spacing w:after="120"/>
      </w:pPr>
      <w:r>
        <w:t>This project developed a functional short-read genome assembler based on the de Bruijn graph algorithm. The implementation covers FASTQ input, k-mer counting, graph construction, graph cleaning, graph traversal, contig generation, FASTA output, assembly evaluation, reference validation, benchmarking, automated testing, and command-line execution.</w:t>
      </w:r>
    </w:p>
    <w:p>
      <w:pPr>
        <w:spacing w:after="120"/>
      </w:pPr>
      <w:r>
        <w:t>Experiments using k=21, 31, 41, and 51 demonstrated measurable effects of k-mer size on assembly structure. The k=51 assembly showed high agreement among contig sequences that mapped to the reference, while also revealing incomplete genome coverage and substantial computational requirements.</w:t>
      </w:r>
    </w:p>
    <w:p>
      <w:pPr>
        <w:spacing w:after="120"/>
      </w:pPr>
      <w:r>
        <w:t>The project therefore demonstrates the core principles of short-read de Bruijn graph assembly while providing a clear foundation for future improvements in error correction, repeat resolution, graph representation, parallelization, and scalability.</w:t>
      </w:r>
    </w:p>
    <w:p>
      <w:pPr>
        <w:pStyle w:val="Heading1"/>
      </w:pPr>
      <w:r>
        <w:t>15. References</w:t>
      </w:r>
    </w:p>
    <w:p>
      <w:pPr>
        <w:spacing w:after="120"/>
      </w:pPr>
      <w:r>
        <w:t>1. Project 1 specification: Development of a Genome Assembly Algorithm for Reconstruction of Genomic Sequences from Short-Read Sequencing Data, Advanced Programming for Bioinformatics.</w:t>
      </w:r>
    </w:p>
    <w:p>
      <w:pPr>
        <w:spacing w:after="120"/>
      </w:pPr>
      <w:r>
        <w:t>2. NC_000913.3, Escherichia coli K-12 substr. MG1655 complete genome, used as the reference sequence for assembly validation.</w:t>
      </w:r>
    </w:p>
    <w:p>
      <w:pPr>
        <w:spacing w:after="120"/>
      </w:pPr>
      <w:r>
        <w:t>3. Velvet assembler baseline results used for contextual comparison. Exact command and settings were not available and therefore the comparison is reported with this limitation.</w:t>
      </w:r>
    </w:p>
    <w:p>
      <w:pPr>
        <w:spacing w:after="120"/>
      </w:pPr>
      <w:r>
        <w:t>4. GenomeAssembler project source code and technical documentation, maintained under Git version control.</w:t>
      </w:r>
    </w:p>
    <w:p>
      <w:pPr>
        <w:pStyle w:val="Heading1"/>
      </w:pPr>
      <w:r>
        <w:t>Appendix A. Example CLI Command</w:t>
      </w:r>
    </w:p>
    <w:p>
      <w:pPr>
        <w:spacing w:after="120"/>
      </w:pPr>
      <w:r>
        <w:t>python -m src.assembler.cli \</w:t>
        <w:br/>
        <w:t xml:space="preserve">    --input reads_R1.fastq \</w:t>
        <w:br/>
        <w:t xml:space="preserve">    --input-r2 reads_R2.fastq \</w:t>
        <w:br/>
        <w:t xml:space="preserve">    --k 51 \</w:t>
        <w:br/>
        <w:t xml:space="preserve">    --min-coverage 2 \</w:t>
        <w:br/>
        <w:t xml:space="preserve">    --tip-length 2 \</w:t>
        <w:br/>
        <w:t xml:space="preserve">    --output contigs.fasta</w:t>
      </w:r>
    </w:p>
    <w:p>
      <w:pPr>
        <w:pStyle w:val="Heading1"/>
      </w:pPr>
      <w:r>
        <w:t>Appendix B. Final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824"/>
            <w:vAlign w:val="center"/>
          </w:tcPr>
          <w:p>
            <w:r>
              <w:t>Automated tests</w:t>
            </w:r>
          </w:p>
        </w:tc>
        <w:tc>
          <w:tcPr>
            <w:tcW w:type="dxa" w:w="4824"/>
            <w:vAlign w:val="center"/>
          </w:tcPr>
          <w:p>
            <w:r>
              <w:t>23/23 passed</w:t>
            </w:r>
          </w:p>
        </w:tc>
      </w:tr>
      <w:tr>
        <w:tc>
          <w:tcPr>
            <w:tcW w:type="dxa" w:w="4824"/>
            <w:vAlign w:val="center"/>
          </w:tcPr>
          <w:p>
            <w:r>
              <w:t>Git working tree</w:t>
            </w:r>
          </w:p>
        </w:tc>
        <w:tc>
          <w:tcPr>
            <w:tcW w:type="dxa" w:w="4824"/>
            <w:vAlign w:val="center"/>
          </w:tcPr>
          <w:p>
            <w:r>
              <w:t>Clean</w:t>
            </w:r>
          </w:p>
        </w:tc>
      </w:tr>
      <w:tr>
        <w:tc>
          <w:tcPr>
            <w:tcW w:type="dxa" w:w="4824"/>
            <w:vAlign w:val="center"/>
          </w:tcPr>
          <w:p>
            <w:r>
              <w:t>FASTQ parser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Paired-end support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k-mer counting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de Bruijn graph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Graph cleaning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Contig traversal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FASTA output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Assembly metrics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Benchmarking</w:t>
            </w:r>
          </w:p>
        </w:tc>
        <w:tc>
          <w:tcPr>
            <w:tcW w:type="dxa" w:w="4824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Reference validation</w:t>
            </w:r>
          </w:p>
        </w:tc>
        <w:tc>
          <w:tcPr>
            <w:tcW w:type="dxa" w:w="4824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Technical documentation</w:t>
            </w:r>
          </w:p>
        </w:tc>
        <w:tc>
          <w:tcPr>
            <w:tcW w:type="dxa" w:w="4824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824"/>
            <w:vAlign w:val="center"/>
          </w:tcPr>
          <w:p>
            <w:r>
              <w:t>Final experimental results</w:t>
            </w:r>
          </w:p>
        </w:tc>
        <w:tc>
          <w:tcPr>
            <w:tcW w:type="dxa" w:w="4824"/>
            <w:vAlign w:val="center"/>
          </w:tcPr>
          <w:p>
            <w:r>
              <w:t>Committed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