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examen final / tablas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Normalizar en primera, segunda y tercera forma normal. Realizar su esquema, en cualquier plataforma que deseen. Realizar las 4 operaciones CRUD desde java usando un proyecto de maven.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books table 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CREATE TABLE Books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CodLibro INT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Titulo VARCHAR(100),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Autor VARCHAR(100),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Editorial VARCHAR(100)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Readers table 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Readers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ReaderID INT PRIMARY KEY AUTO_INCREMENT,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NombreLector VARCHAR(100)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Loans table 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Loans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LoanID INT PRIMARY KEY AUTO_INCREMENT,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CodLibro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ReaderID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FechaDev DATE,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FOREIGN KEY (CodLibro) REFERENCES Books(CodLibro),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FOREIGN KEY (ReaderID) REFERENCES Readers(ReaderID)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