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A4282" w14:textId="52F4278F" w:rsidR="008706A9" w:rsidRPr="008706A9" w:rsidRDefault="008706A9" w:rsidP="008706A9">
      <w:pPr>
        <w:tabs>
          <w:tab w:val="num" w:pos="720"/>
        </w:tabs>
        <w:ind w:left="360" w:hanging="360"/>
        <w:rPr>
          <w:b/>
          <w:bCs/>
        </w:rPr>
      </w:pPr>
      <w:r w:rsidRPr="008706A9">
        <w:rPr>
          <w:b/>
          <w:bCs/>
          <w:u w:val="single"/>
        </w:rPr>
        <w:t>D214 Capstone:</w:t>
      </w:r>
      <w:r w:rsidRPr="008706A9">
        <w:rPr>
          <w:b/>
          <w:bCs/>
        </w:rPr>
        <w:t xml:space="preserve"> Task 3</w:t>
      </w:r>
      <w:r w:rsidR="00506D19">
        <w:rPr>
          <w:b/>
          <w:bCs/>
        </w:rPr>
        <w:t xml:space="preserve"> Executive Summary</w:t>
      </w:r>
    </w:p>
    <w:p w14:paraId="20FBF1DE" w14:textId="2B388202" w:rsidR="008706A9" w:rsidRPr="008706A9" w:rsidRDefault="00656F9F" w:rsidP="008706A9">
      <w:pPr>
        <w:tabs>
          <w:tab w:val="num" w:pos="720"/>
        </w:tabs>
        <w:ind w:left="360" w:hanging="360"/>
        <w:rPr>
          <w:b/>
          <w:bCs/>
        </w:rPr>
      </w:pPr>
      <w:r>
        <w:rPr>
          <w:b/>
          <w:bCs/>
          <w:u w:val="single"/>
        </w:rPr>
        <w:t>I</w:t>
      </w:r>
      <w:r w:rsidR="008706A9" w:rsidRPr="008706A9">
        <w:rPr>
          <w:b/>
          <w:bCs/>
          <w:u w:val="single"/>
        </w:rPr>
        <w:t>nstructor:</w:t>
      </w:r>
      <w:r w:rsidR="008706A9" w:rsidRPr="008706A9">
        <w:rPr>
          <w:b/>
          <w:bCs/>
        </w:rPr>
        <w:t xml:space="preserve"> Dr. Daniel Smith</w:t>
      </w:r>
    </w:p>
    <w:p w14:paraId="7C7A9EF9" w14:textId="77777777" w:rsidR="008706A9" w:rsidRPr="008706A9" w:rsidRDefault="008706A9" w:rsidP="008706A9">
      <w:pPr>
        <w:tabs>
          <w:tab w:val="num" w:pos="720"/>
        </w:tabs>
        <w:ind w:left="360" w:hanging="360"/>
        <w:rPr>
          <w:b/>
          <w:bCs/>
        </w:rPr>
      </w:pPr>
      <w:r w:rsidRPr="008706A9">
        <w:rPr>
          <w:b/>
          <w:bCs/>
          <w:u w:val="single"/>
        </w:rPr>
        <w:t>Student Name:</w:t>
      </w:r>
      <w:r w:rsidRPr="008706A9">
        <w:rPr>
          <w:b/>
          <w:bCs/>
        </w:rPr>
        <w:t xml:space="preserve"> Devon E. Johnson</w:t>
      </w:r>
    </w:p>
    <w:p w14:paraId="0731AD2F" w14:textId="77777777" w:rsidR="008706A9" w:rsidRPr="008706A9" w:rsidRDefault="008706A9" w:rsidP="008706A9">
      <w:pPr>
        <w:tabs>
          <w:tab w:val="num" w:pos="720"/>
        </w:tabs>
        <w:ind w:left="360" w:hanging="360"/>
        <w:rPr>
          <w:b/>
          <w:bCs/>
        </w:rPr>
      </w:pPr>
      <w:r w:rsidRPr="008706A9">
        <w:rPr>
          <w:b/>
          <w:bCs/>
          <w:u w:val="single"/>
        </w:rPr>
        <w:t>Student ID:</w:t>
      </w:r>
      <w:r w:rsidRPr="008706A9">
        <w:rPr>
          <w:b/>
          <w:bCs/>
        </w:rPr>
        <w:t xml:space="preserve"> 011494484</w:t>
      </w:r>
    </w:p>
    <w:p w14:paraId="6C6B43E9" w14:textId="778005B5" w:rsidR="008706A9" w:rsidRPr="008706A9" w:rsidRDefault="008706A9" w:rsidP="00D525F9">
      <w:pPr>
        <w:tabs>
          <w:tab w:val="num" w:pos="720"/>
        </w:tabs>
        <w:spacing w:after="0"/>
        <w:ind w:left="360" w:hanging="360"/>
        <w:rPr>
          <w:b/>
          <w:bCs/>
        </w:rPr>
      </w:pPr>
      <w:r w:rsidRPr="008706A9">
        <w:rPr>
          <w:b/>
          <w:bCs/>
          <w:u w:val="single"/>
        </w:rPr>
        <w:t>Email:</w:t>
      </w:r>
      <w:r w:rsidRPr="008706A9">
        <w:rPr>
          <w:b/>
          <w:bCs/>
        </w:rPr>
        <w:t xml:space="preserve"> </w:t>
      </w:r>
      <w:hyperlink r:id="rId5" w:history="1">
        <w:r w:rsidRPr="008706A9">
          <w:rPr>
            <w:rStyle w:val="Hyperlink"/>
            <w:b/>
            <w:bCs/>
          </w:rPr>
          <w:t>djo3593@wgu.edu</w:t>
        </w:r>
      </w:hyperlink>
    </w:p>
    <w:p w14:paraId="33BA8D90" w14:textId="77777777" w:rsidR="008706A9" w:rsidRDefault="008706A9" w:rsidP="00D525F9">
      <w:pPr>
        <w:tabs>
          <w:tab w:val="num" w:pos="720"/>
        </w:tabs>
        <w:spacing w:after="0"/>
      </w:pPr>
    </w:p>
    <w:p w14:paraId="3D965EA6" w14:textId="213FB243" w:rsidR="008706A9" w:rsidRDefault="008706A9" w:rsidP="008706A9">
      <w:pPr>
        <w:rPr>
          <w:b/>
          <w:bCs/>
        </w:rPr>
      </w:pPr>
      <w:r w:rsidRPr="008706A9">
        <w:rPr>
          <w:b/>
          <w:bCs/>
        </w:rPr>
        <w:t>Research Problem and Hypothesis</w:t>
      </w:r>
    </w:p>
    <w:p w14:paraId="22BB64E1" w14:textId="0E4CFA35" w:rsidR="008706A9" w:rsidRPr="008706A9" w:rsidRDefault="008706A9" w:rsidP="008706A9">
      <w:r w:rsidRPr="008706A9">
        <w:t>This project leveraged a quantile regression model to analyze commercial data published on Kaggle.com containing 10,000 sales transactions across seven regions, 12 product categories, two sales channels, four levels of order priority, and date of sale to determine which factors strongly predict higher profit per transaction.</w:t>
      </w:r>
    </w:p>
    <w:p w14:paraId="3F35E198" w14:textId="364D6C2D" w:rsidR="008706A9" w:rsidRPr="008706A9" w:rsidRDefault="008706A9" w:rsidP="008706A9">
      <w:r>
        <w:t>The associated</w:t>
      </w:r>
      <w:r w:rsidRPr="008706A9">
        <w:t xml:space="preserve"> research question </w:t>
      </w:r>
      <w:r>
        <w:t>wa</w:t>
      </w:r>
      <w:r w:rsidRPr="008706A9">
        <w:t>s as follows: Given region of sale, product type, sale channel, order priority, and seasonality, which factors most strongly predict higher profit per transaction? As such, the null hypothesis is that none of the factors predict profit per transactio</w:t>
      </w:r>
      <w:r w:rsidR="00191791">
        <w:t>n</w:t>
      </w:r>
      <w:r w:rsidRPr="008706A9">
        <w:t xml:space="preserve">, and the alternate hypothesis is that </w:t>
      </w:r>
      <w:r>
        <w:t>a</w:t>
      </w:r>
      <w:r w:rsidRPr="008706A9">
        <w:t>t least one factor significantly predicts profit per transaction.</w:t>
      </w:r>
    </w:p>
    <w:p w14:paraId="4C41D4B1" w14:textId="433002A9" w:rsidR="008706A9" w:rsidRPr="008706A9" w:rsidRDefault="008706A9" w:rsidP="008706A9">
      <w:r w:rsidRPr="008706A9">
        <w:t>Knowing what drives profit per transaction gives a business something to act on. For instance, if the item type is identified as significant, the business might want to prioritize product categories with higher profit margins. Alternatively, if the region or season of sale is identified as more influential, the business might reallocate resources to the regions and/or seasons that generate higher returns.</w:t>
      </w:r>
    </w:p>
    <w:p w14:paraId="4CB9E5B0" w14:textId="73964B21" w:rsidR="008706A9" w:rsidRDefault="008706A9" w:rsidP="008706A9">
      <w:pPr>
        <w:rPr>
          <w:b/>
          <w:bCs/>
        </w:rPr>
      </w:pPr>
      <w:r w:rsidRPr="008706A9">
        <w:rPr>
          <w:b/>
          <w:bCs/>
        </w:rPr>
        <w:t>Data Analysis and Summary</w:t>
      </w:r>
    </w:p>
    <w:p w14:paraId="1FB6699D" w14:textId="16E6B6D1" w:rsidR="00191791" w:rsidRDefault="00191791" w:rsidP="00191791">
      <w:r w:rsidRPr="00191791">
        <w:t xml:space="preserve">The data </w:t>
      </w:r>
      <w:r>
        <w:t xml:space="preserve">was downloaded and read using Python in a </w:t>
      </w:r>
      <w:proofErr w:type="spellStart"/>
      <w:r>
        <w:t>Jupyter</w:t>
      </w:r>
      <w:proofErr w:type="spellEnd"/>
      <w:r>
        <w:t xml:space="preserve"> Notebook hosted </w:t>
      </w:r>
      <w:r w:rsidR="00D85376">
        <w:t>by</w:t>
      </w:r>
      <w:r>
        <w:t xml:space="preserve"> Anaconda. The </w:t>
      </w:r>
      <w:proofErr w:type="gramStart"/>
      <w:r w:rsidRPr="00191791">
        <w:t>pandas</w:t>
      </w:r>
      <w:proofErr w:type="gramEnd"/>
      <w:r w:rsidRPr="00191791">
        <w:t xml:space="preserve"> library w</w:t>
      </w:r>
      <w:r>
        <w:t xml:space="preserve">as utilized for preparatory data cleaning steps, including checking for duplicates, checking for instances of negative profit that would indicate false entries since profit can never be less than zero, </w:t>
      </w:r>
      <w:r w:rsidRPr="00191791">
        <w:t xml:space="preserve">variable renaming, column </w:t>
      </w:r>
      <w:proofErr w:type="spellStart"/>
      <w:r w:rsidRPr="00191791">
        <w:t>subsetting</w:t>
      </w:r>
      <w:proofErr w:type="spellEnd"/>
      <w:r w:rsidRPr="00191791">
        <w:t>, and</w:t>
      </w:r>
      <w:r>
        <w:t xml:space="preserve"> </w:t>
      </w:r>
      <w:r w:rsidRPr="00191791">
        <w:t>categorical variable encoding.</w:t>
      </w:r>
    </w:p>
    <w:p w14:paraId="56382A10" w14:textId="2ABF180D" w:rsidR="00191791" w:rsidRDefault="00191791" w:rsidP="00191791">
      <w:r w:rsidRPr="00191791">
        <w:t xml:space="preserve">Preliminary </w:t>
      </w:r>
      <w:proofErr w:type="gramStart"/>
      <w:r w:rsidRPr="00191791">
        <w:t>exploratory</w:t>
      </w:r>
      <w:proofErr w:type="gramEnd"/>
      <w:r w:rsidRPr="00191791">
        <w:t xml:space="preserve"> analysis was</w:t>
      </w:r>
      <w:r>
        <w:t xml:space="preserve"> then</w:t>
      </w:r>
      <w:r w:rsidRPr="00191791">
        <w:t xml:space="preserve"> conducted to initially assess suitability for multiple linear</w:t>
      </w:r>
      <w:r>
        <w:t xml:space="preserve"> </w:t>
      </w:r>
      <w:r w:rsidRPr="00191791">
        <w:t>regression since the dependent variable</w:t>
      </w:r>
      <w:r>
        <w:t>, total profit,</w:t>
      </w:r>
      <w:r w:rsidRPr="00191791">
        <w:t xml:space="preserve"> is continuous. </w:t>
      </w:r>
      <w:r>
        <w:t xml:space="preserve">The categorical variables were converted into dummy </w:t>
      </w:r>
      <w:proofErr w:type="gramStart"/>
      <w:r>
        <w:t>variables</w:t>
      </w:r>
      <w:proofErr w:type="gramEnd"/>
      <w:r>
        <w:t xml:space="preserve"> and a histogram of the residuals was generated to check whether the residuals were normally distributed. The resulting histogram displayed a clear bell-shaped distribution centered around the zero mean, indicating that the residuals were normally distributed. However, a plot of the </w:t>
      </w:r>
      <w:r>
        <w:lastRenderedPageBreak/>
        <w:t xml:space="preserve">residuals against the fitted values demonstrated a distinct fan pattern, showing that as the residuals (the discrepancy between the model predictions and the actual profit) increased the fitted values (the model predictions for each transaction) </w:t>
      </w:r>
      <w:r w:rsidR="00BF34E6">
        <w:t xml:space="preserve">also </w:t>
      </w:r>
      <w:r>
        <w:t xml:space="preserve">increased. This violated the assumption of homoscedasticity. </w:t>
      </w:r>
    </w:p>
    <w:p w14:paraId="4DB7672B" w14:textId="000A7608" w:rsidR="00191791" w:rsidRDefault="00191791" w:rsidP="00191791">
      <w:r>
        <w:t xml:space="preserve">A log transformation was applied </w:t>
      </w:r>
      <w:proofErr w:type="gramStart"/>
      <w:r w:rsidR="00F735AF">
        <w:t>in an attempt to</w:t>
      </w:r>
      <w:proofErr w:type="gramEnd"/>
      <w:r w:rsidR="00F735AF">
        <w:t xml:space="preserve"> resolve the issue, since this would compress the scale of the outcome variable by reducing the relative distance between larger values while leaving small values comparatively unchanged. However, while the log transformation resolved the homoscedasticity issue, it introduced a strong left skew to the original normal distribution of the residuals. This was to be expected, given that the model involved many categorical variables</w:t>
      </w:r>
      <w:r w:rsidR="00BF34E6">
        <w:t>,</w:t>
      </w:r>
      <w:r w:rsidR="00F735AF">
        <w:t xml:space="preserve"> and log transformations, just like other power transformations such as square root and Box-Cox, are designed to stabilize variance that scales continuously with the outcome variable but are not well-equipped to handle variance that jumps in discrete steps based on category membership. </w:t>
      </w:r>
    </w:p>
    <w:p w14:paraId="4293B278" w14:textId="4FF6799F" w:rsidR="00F735AF" w:rsidRPr="00F735AF" w:rsidRDefault="00F735AF" w:rsidP="00F735AF">
      <w:r>
        <w:t xml:space="preserve">Given this finding, other approaches were considered to assess the homoscedasticity violation. </w:t>
      </w:r>
      <w:r w:rsidRPr="00F735AF">
        <w:t>For instance, one</w:t>
      </w:r>
      <w:r>
        <w:t xml:space="preserve"> </w:t>
      </w:r>
      <w:r w:rsidRPr="00F735AF">
        <w:t xml:space="preserve">of the first </w:t>
      </w:r>
      <w:r w:rsidR="00BF34E6">
        <w:t xml:space="preserve">considered </w:t>
      </w:r>
      <w:r w:rsidRPr="00F735AF">
        <w:t>resolutions was applying a heteroskedasticity-consistent (HC3) estimator,</w:t>
      </w:r>
      <w:r>
        <w:t xml:space="preserve"> </w:t>
      </w:r>
      <w:r w:rsidRPr="00F735AF">
        <w:t>but this adjustment method is specifically recommended for sample sizes under 250 observations,</w:t>
      </w:r>
      <w:r>
        <w:t xml:space="preserve"> </w:t>
      </w:r>
      <w:r w:rsidRPr="00F735AF">
        <w:t xml:space="preserve">and </w:t>
      </w:r>
      <w:r>
        <w:t>the</w:t>
      </w:r>
      <w:r w:rsidRPr="00F735AF">
        <w:t xml:space="preserve"> dataset </w:t>
      </w:r>
      <w:r>
        <w:t>wa</w:t>
      </w:r>
      <w:r w:rsidRPr="00F735AF">
        <w:t>s far larger with 10,000 transactions (Kaufman, 2013, pp. 43-50).</w:t>
      </w:r>
    </w:p>
    <w:p w14:paraId="3D71D21E" w14:textId="5BEF41C5" w:rsidR="00F735AF" w:rsidRDefault="00F735AF" w:rsidP="00F735AF">
      <w:r w:rsidRPr="00F735AF">
        <w:t xml:space="preserve">Weighted least squares </w:t>
      </w:r>
      <w:proofErr w:type="gramStart"/>
      <w:r w:rsidRPr="00F735AF">
        <w:t>was</w:t>
      </w:r>
      <w:proofErr w:type="gramEnd"/>
      <w:r w:rsidRPr="00F735AF">
        <w:t xml:space="preserve"> also considered, as it resolves heteroscedasticity by applying different</w:t>
      </w:r>
      <w:r>
        <w:t xml:space="preserve"> </w:t>
      </w:r>
      <w:r w:rsidRPr="00F735AF">
        <w:t>weights to data points to minimize the weighted sum of squared residuals and thus give less influence</w:t>
      </w:r>
      <w:r>
        <w:t xml:space="preserve"> </w:t>
      </w:r>
      <w:proofErr w:type="gramStart"/>
      <w:r w:rsidRPr="00F735AF">
        <w:t>to</w:t>
      </w:r>
      <w:proofErr w:type="gramEnd"/>
      <w:r w:rsidRPr="00F735AF">
        <w:t xml:space="preserve"> data points with higher variance. However, this approach requires one to know the true variance</w:t>
      </w:r>
      <w:r>
        <w:t xml:space="preserve"> </w:t>
      </w:r>
      <w:r w:rsidRPr="00F735AF">
        <w:t xml:space="preserve">structure in advance </w:t>
      </w:r>
      <w:proofErr w:type="gramStart"/>
      <w:r w:rsidRPr="00F735AF">
        <w:t>in order to</w:t>
      </w:r>
      <w:proofErr w:type="gramEnd"/>
      <w:r w:rsidRPr="00F735AF">
        <w:t xml:space="preserve"> find the appropriate weight size (</w:t>
      </w:r>
      <w:proofErr w:type="spellStart"/>
      <w:r w:rsidRPr="00F735AF">
        <w:t>Zilfimian</w:t>
      </w:r>
      <w:proofErr w:type="spellEnd"/>
      <w:r w:rsidRPr="00F735AF">
        <w:t xml:space="preserve">, 2020). </w:t>
      </w:r>
      <w:r>
        <w:t>R</w:t>
      </w:r>
      <w:r w:rsidRPr="00F735AF">
        <w:t xml:space="preserve">obust regression, which is specifically designed to handle situations where the </w:t>
      </w:r>
      <w:r w:rsidR="00BF34E6" w:rsidRPr="00F735AF">
        <w:t>ordinary least squares (OLS)</w:t>
      </w:r>
      <w:r w:rsidRPr="00F735AF">
        <w:t xml:space="preserve"> assumptions are</w:t>
      </w:r>
      <w:r>
        <w:t xml:space="preserve"> </w:t>
      </w:r>
      <w:r w:rsidRPr="00F735AF">
        <w:t xml:space="preserve">violated, </w:t>
      </w:r>
      <w:r>
        <w:t xml:space="preserve">was explored, </w:t>
      </w:r>
      <w:r w:rsidRPr="00F735AF">
        <w:t>but it is usually used to address heteroskedasticity caused by outliers (Penn State Eberly</w:t>
      </w:r>
      <w:r>
        <w:t xml:space="preserve"> </w:t>
      </w:r>
      <w:proofErr w:type="gramStart"/>
      <w:r w:rsidRPr="00F735AF">
        <w:t>College of Science</w:t>
      </w:r>
      <w:proofErr w:type="gramEnd"/>
      <w:r w:rsidRPr="00F735AF">
        <w:t>, n.d.). In this case, the heteroskedasticity is structural, so robust regression is</w:t>
      </w:r>
      <w:r>
        <w:t xml:space="preserve"> </w:t>
      </w:r>
      <w:r w:rsidRPr="00F735AF">
        <w:t>not indicated.</w:t>
      </w:r>
    </w:p>
    <w:p w14:paraId="680CCE1F" w14:textId="39126964" w:rsidR="00E42638" w:rsidRPr="00E42638" w:rsidRDefault="00E42638" w:rsidP="00E42638">
      <w:r w:rsidRPr="00E42638">
        <w:t>In the end, the options were narrowed to a choice between White’s HC0 estimator and quantile regression. HC0 is a basic heteroscedasticity-consistent estimator that does not specifically adjust for smaller sample sizes and is therefore more appropriate for the dataset than other estimators, such as HC3, which was already discussed (</w:t>
      </w:r>
      <w:proofErr w:type="spellStart"/>
      <w:r w:rsidRPr="00E42638">
        <w:t>Baissa</w:t>
      </w:r>
      <w:proofErr w:type="spellEnd"/>
      <w:r w:rsidRPr="00E42638">
        <w:t xml:space="preserve">, 2024). Alternatively, quantile regression could be used over linear regression entirely, since it </w:t>
      </w:r>
      <w:r>
        <w:t>i</w:t>
      </w:r>
      <w:r w:rsidRPr="00E42638">
        <w:t>s specifically designed to handle situations where the assumptions of a linear regression model are not satisfied.</w:t>
      </w:r>
    </w:p>
    <w:p w14:paraId="61F2CD99" w14:textId="29378BCA" w:rsidR="00F735AF" w:rsidRPr="00F735AF" w:rsidRDefault="00F735AF" w:rsidP="00F735AF">
      <w:r>
        <w:lastRenderedPageBreak/>
        <w:t>U</w:t>
      </w:r>
      <w:r w:rsidRPr="00F735AF">
        <w:t>ltimately</w:t>
      </w:r>
      <w:r>
        <w:t>, quantile regression was</w:t>
      </w:r>
      <w:r w:rsidRPr="00F735AF">
        <w:t xml:space="preserve"> selected as the most appropriate technique for the analysis. Unlike</w:t>
      </w:r>
      <w:r>
        <w:t xml:space="preserve"> </w:t>
      </w:r>
      <w:r w:rsidRPr="00F735AF">
        <w:t xml:space="preserve">OLS regression, which estimates the </w:t>
      </w:r>
      <w:proofErr w:type="gramStart"/>
      <w:r w:rsidRPr="00F735AF">
        <w:t>mean</w:t>
      </w:r>
      <w:proofErr w:type="gramEnd"/>
      <w:r w:rsidRPr="00F735AF">
        <w:t xml:space="preserve"> of the dependent variable,</w:t>
      </w:r>
      <w:r>
        <w:t xml:space="preserve"> </w:t>
      </w:r>
      <w:r w:rsidRPr="00F735AF">
        <w:t>quantile regression estimates the dependent variable’s conditional distribution. It is generally used</w:t>
      </w:r>
      <w:r>
        <w:t xml:space="preserve"> </w:t>
      </w:r>
      <w:r w:rsidRPr="00F735AF">
        <w:t>when the response variable has a non-normal distribution, there are significant outliers in the data,</w:t>
      </w:r>
      <w:r>
        <w:t xml:space="preserve"> </w:t>
      </w:r>
      <w:r w:rsidRPr="00F735AF">
        <w:t>and/or the data demonstrates heteroskedasticity (“Quantile regression: A flexible alternative to</w:t>
      </w:r>
      <w:r>
        <w:t xml:space="preserve"> </w:t>
      </w:r>
      <w:r w:rsidRPr="00F735AF">
        <w:t>linear regression,” n.d.). Quantile regression also provides a more nuanced answer to the research</w:t>
      </w:r>
      <w:r>
        <w:t xml:space="preserve"> </w:t>
      </w:r>
      <w:r w:rsidRPr="00F735AF">
        <w:t>question than linear regression, since it offers insight into how the predictors affect total profit at</w:t>
      </w:r>
      <w:r>
        <w:t xml:space="preserve"> </w:t>
      </w:r>
      <w:r w:rsidRPr="00F735AF">
        <w:t>different quantiles rather than just at the mean point.</w:t>
      </w:r>
    </w:p>
    <w:p w14:paraId="75C4C342" w14:textId="06B68DBA" w:rsidR="00F735AF" w:rsidRDefault="00F735AF" w:rsidP="00F735AF">
      <w:r w:rsidRPr="00F735AF">
        <w:t>That said, quantile regression poses some notable disadvantages relative to OLS. OLS produces a</w:t>
      </w:r>
      <w:r>
        <w:t xml:space="preserve"> </w:t>
      </w:r>
      <w:r w:rsidRPr="00F735AF">
        <w:t xml:space="preserve">single coefficient per predictor, </w:t>
      </w:r>
      <w:r w:rsidR="00E42638">
        <w:t>making</w:t>
      </w:r>
      <w:r w:rsidRPr="00F735AF">
        <w:t xml:space="preserve"> it much simpler to interpret than quantile regression,</w:t>
      </w:r>
      <w:r>
        <w:t xml:space="preserve"> </w:t>
      </w:r>
      <w:r w:rsidRPr="00F735AF">
        <w:t>which produces a separate set of coefficients at each quantile. Additionally, when all the assumptions</w:t>
      </w:r>
      <w:r>
        <w:t xml:space="preserve"> </w:t>
      </w:r>
      <w:r w:rsidRPr="00F735AF">
        <w:t>of OLS are satisfied, OLS is more statistically efficient, since the Gauss-Markov theorem guarantees</w:t>
      </w:r>
      <w:r>
        <w:t xml:space="preserve"> </w:t>
      </w:r>
      <w:r w:rsidRPr="00F735AF">
        <w:t>it produces the smallest possible variance among all linear unbiased estimators. Quantile regression</w:t>
      </w:r>
      <w:r>
        <w:t xml:space="preserve"> </w:t>
      </w:r>
      <w:r w:rsidRPr="00F735AF">
        <w:t>sacrifices some of that efficiency in exchange for robustness to heteroscedasticity and non-constant</w:t>
      </w:r>
      <w:r>
        <w:t xml:space="preserve"> </w:t>
      </w:r>
      <w:r w:rsidRPr="00F735AF">
        <w:t>variance across the outcome distribution (</w:t>
      </w:r>
      <w:proofErr w:type="spellStart"/>
      <w:r w:rsidRPr="00F735AF">
        <w:t>Brenndoerfer</w:t>
      </w:r>
      <w:proofErr w:type="spellEnd"/>
      <w:r w:rsidRPr="00F735AF">
        <w:t>, 2025).</w:t>
      </w:r>
    </w:p>
    <w:p w14:paraId="7B1C3C65" w14:textId="7B42FBDE" w:rsidR="00656F9F" w:rsidRPr="00656F9F" w:rsidRDefault="00656F9F" w:rsidP="00656F9F">
      <w:r w:rsidRPr="00656F9F">
        <w:t xml:space="preserve">The quantile regression model </w:t>
      </w:r>
      <w:proofErr w:type="gramStart"/>
      <w:r w:rsidRPr="00656F9F">
        <w:t>was fit at</w:t>
      </w:r>
      <w:proofErr w:type="gramEnd"/>
      <w:r w:rsidRPr="00656F9F">
        <w:t xml:space="preserve"> the 50th, 75th, 90th, and 95th quantiles. Baby Food was automatically selected as the reference category due to alphabetical ordering but surpassed the overall mean profit by about $70k. This will be addressed in the limitations section.  </w:t>
      </w:r>
    </w:p>
    <w:p w14:paraId="12AD738C" w14:textId="740F671A" w:rsidR="008706A9" w:rsidRDefault="008706A9" w:rsidP="008706A9">
      <w:pPr>
        <w:rPr>
          <w:b/>
          <w:bCs/>
        </w:rPr>
      </w:pPr>
      <w:r w:rsidRPr="008706A9">
        <w:rPr>
          <w:b/>
          <w:bCs/>
        </w:rPr>
        <w:t>Findings</w:t>
      </w:r>
    </w:p>
    <w:p w14:paraId="6AF31547" w14:textId="71C03775" w:rsidR="00AC2534" w:rsidRPr="00AC2534" w:rsidRDefault="00AC2534" w:rsidP="00AC2534">
      <w:r w:rsidRPr="00AC2534">
        <w:t xml:space="preserve">The </w:t>
      </w:r>
      <w:proofErr w:type="gramStart"/>
      <w:r w:rsidRPr="00AC2534">
        <w:t>pseudo R</w:t>
      </w:r>
      <w:proofErr w:type="gramEnd"/>
      <w:r w:rsidRPr="00AC2534">
        <w:t xml:space="preserve">² values increased gradually as the model ran through the quantiles, going from 0.31 at the 50th percentile to 0.64 at the 95th percentile. This shows that the model’s predictors explain more of the profit variance in higher-value transactions than in lower-value transactions. </w:t>
      </w:r>
    </w:p>
    <w:p w14:paraId="0A842D8C" w14:textId="77777777" w:rsidR="00AC2534" w:rsidRDefault="00AC2534" w:rsidP="00AC2534">
      <w:r w:rsidRPr="00AC2534">
        <w:t>Across all quantiles, item type emerged as the most statistically significant predictor, with p-values well below the threshold of 0.05, falling below 0.001 for almost all item types (</w:t>
      </w:r>
      <w:proofErr w:type="gramStart"/>
      <w:r w:rsidRPr="00AC2534">
        <w:t>with the exception of</w:t>
      </w:r>
      <w:proofErr w:type="gramEnd"/>
      <w:r w:rsidRPr="00AC2534">
        <w:t xml:space="preserve"> cereal at the 50th percentile with a p-value of 0.581). Cosmetics were associated with the highest profits at the 95th percentile with a coefficient of $746,100, a standard error of 4,887, a t-value of 152.68, and a p-value of under 0.001. Meanwhile, fruits were associated with the lowest profits at that percentile, with a coefficient of -$886,200, a standard error of 5,038, a t-value of -175.91, and a p-value under 0.001. </w:t>
      </w:r>
    </w:p>
    <w:p w14:paraId="0BD404F1" w14:textId="46114D54" w:rsidR="00AC2534" w:rsidRPr="00AC2534" w:rsidRDefault="00AC2534" w:rsidP="00AC2534">
      <w:r w:rsidRPr="00AC2534">
        <w:t xml:space="preserve">The only other variable of note was region, which, while largely non-significant, showed that North America was a significant driver of profit at the 75th percentile, with a p-value of </w:t>
      </w:r>
      <w:r w:rsidRPr="00AC2534">
        <w:lastRenderedPageBreak/>
        <w:t xml:space="preserve">0.003 and a coefficient of </w:t>
      </w:r>
      <w:r w:rsidR="006A5FF0">
        <w:t>$</w:t>
      </w:r>
      <w:r w:rsidRPr="00AC2534">
        <w:t xml:space="preserve">32,970, and, to a lesser extent, at the 90th percentile, with a p-value of 0.038 and a coefficient of </w:t>
      </w:r>
      <w:r w:rsidR="006A5FF0">
        <w:t>$</w:t>
      </w:r>
      <w:r w:rsidRPr="00AC2534">
        <w:t>18,360. This suggests that North America produces more above-average transactions than other regions. However, this influence disappears at the 95th percentile</w:t>
      </w:r>
      <w:r w:rsidR="00BF34E6">
        <w:t>, showing that</w:t>
      </w:r>
      <w:r w:rsidRPr="00AC2534">
        <w:t xml:space="preserve"> region of sale had a marginal and inconsistent impact on total profit. </w:t>
      </w:r>
    </w:p>
    <w:p w14:paraId="5FCE440D" w14:textId="77777777" w:rsidR="00AC2534" w:rsidRPr="00AC2534" w:rsidRDefault="00AC2534" w:rsidP="00AC2534">
      <w:r w:rsidRPr="00AC2534">
        <w:t>The remaining predictors, sales channel, order priority, and seasonality, were non-significant at all four percentiles, suggesting that they did not meaningfully predict profit.</w:t>
      </w:r>
    </w:p>
    <w:p w14:paraId="071590E6" w14:textId="77777777" w:rsidR="00AC2534" w:rsidRPr="00AC2534" w:rsidRDefault="00AC2534" w:rsidP="00AC2534">
      <w:r w:rsidRPr="00AC2534">
        <w:t>With this information, the null hypothesis was rejected, and the alternate hypothesis was confirmed, since at least one of the factors predicted profit per transaction. A clear influence across all item type categories and one region across two percentiles was observed to affect total profit.</w:t>
      </w:r>
    </w:p>
    <w:p w14:paraId="3E1EC398" w14:textId="77777777" w:rsidR="008706A9" w:rsidRDefault="008706A9" w:rsidP="008706A9">
      <w:pPr>
        <w:rPr>
          <w:b/>
          <w:bCs/>
        </w:rPr>
      </w:pPr>
      <w:r w:rsidRPr="008706A9">
        <w:rPr>
          <w:b/>
          <w:bCs/>
        </w:rPr>
        <w:t>Limitations and Techniques</w:t>
      </w:r>
    </w:p>
    <w:p w14:paraId="1BD61CBE" w14:textId="6C4A3716" w:rsidR="00656F9F" w:rsidRPr="00656F9F" w:rsidRDefault="00656F9F" w:rsidP="00656F9F">
      <w:r w:rsidRPr="00656F9F">
        <w:t xml:space="preserve">Since the reference category, Baby Food, performed slightly higher than the average total profit, the negative coefficients in the final analysis are </w:t>
      </w:r>
      <w:r w:rsidR="004303FE">
        <w:t>somewhat</w:t>
      </w:r>
      <w:r w:rsidRPr="00656F9F">
        <w:t xml:space="preserve"> inflated compared to the average, and the positive coefficients for high-performing categories such as </w:t>
      </w:r>
      <w:r w:rsidR="00A32B81">
        <w:t>c</w:t>
      </w:r>
      <w:r w:rsidRPr="00656F9F">
        <w:t xml:space="preserve">osmetics and </w:t>
      </w:r>
      <w:r w:rsidR="00A32B81">
        <w:t>h</w:t>
      </w:r>
      <w:r w:rsidRPr="00656F9F">
        <w:t>ousehold</w:t>
      </w:r>
      <w:r w:rsidR="00A32B81">
        <w:t xml:space="preserve"> </w:t>
      </w:r>
      <w:proofErr w:type="gramStart"/>
      <w:r w:rsidR="00A32B81">
        <w:t>goods</w:t>
      </w:r>
      <w:r w:rsidRPr="00656F9F">
        <w:t>,</w:t>
      </w:r>
      <w:proofErr w:type="gramEnd"/>
      <w:r w:rsidRPr="00656F9F">
        <w:t xml:space="preserve"> are correspondingly understated. A more methodologically rigorous approach would have included the manual selection of a reference category that better represented the average, such as clothes, which has a median profit of $365,915, closer to the dataset’s overall mean of $395,089. That said, the differences seen in profit for cosmetics and household item types still outweigh this disparity and represent a clear advantage in terms of profitability.</w:t>
      </w:r>
    </w:p>
    <w:p w14:paraId="00196FF5" w14:textId="77777777" w:rsidR="00656F9F" w:rsidRPr="00656F9F" w:rsidRDefault="00656F9F" w:rsidP="00656F9F">
      <w:r w:rsidRPr="00656F9F">
        <w:t xml:space="preserve">Beyond this, the model was also limited by the lack of continuous predictors. Units sold, unit price, and unit cost were excluded from the analysis, meaning the model could not distinguish between the sales volumes or margin sizes as contributors to profit. As such, purely ascribing profit to item type may be misleading, as it may be the associated margin per unit or the number of units sold that is </w:t>
      </w:r>
      <w:proofErr w:type="gramStart"/>
      <w:r w:rsidRPr="00656F9F">
        <w:t>actually driving</w:t>
      </w:r>
      <w:proofErr w:type="gramEnd"/>
      <w:r w:rsidRPr="00656F9F">
        <w:t xml:space="preserve"> profit. Since total profit is a product of both these factors, the leading underlying factor cannot be determined from the current model alone.</w:t>
      </w:r>
    </w:p>
    <w:p w14:paraId="34A22BB8" w14:textId="5DF300E2" w:rsidR="00C406FA" w:rsidRPr="00C406FA" w:rsidRDefault="00C406FA" w:rsidP="00C406FA">
      <w:pPr>
        <w:rPr>
          <w:b/>
          <w:bCs/>
        </w:rPr>
      </w:pPr>
      <w:r w:rsidRPr="00C406FA">
        <w:rPr>
          <w:b/>
          <w:bCs/>
        </w:rPr>
        <w:t>Proposed Actions</w:t>
      </w:r>
    </w:p>
    <w:p w14:paraId="4C74137A" w14:textId="77777777" w:rsidR="00C406FA" w:rsidRPr="00C406FA" w:rsidRDefault="00C406FA" w:rsidP="00C406FA">
      <w:r w:rsidRPr="00C406FA">
        <w:t xml:space="preserve">Based on these results, the recommended course of action for the business is to have the data analysis team generate a time-series analysis using the original continuous order date variable to examine how total profit for household goods and cosmetics has varied over time, which would enable predictive analysis to determine how total profit for these categories might be expected to behave in the near future. This would reveal whether the profit advantages associated with high-performing item types, such as cosmetics and </w:t>
      </w:r>
      <w:r w:rsidRPr="00C406FA">
        <w:lastRenderedPageBreak/>
        <w:t xml:space="preserve">household goods, are stable over time or represent an emerging or declining trend, which would better inform how the business should act on the current findings. </w:t>
      </w:r>
    </w:p>
    <w:p w14:paraId="1C1BFCCC" w14:textId="77777777" w:rsidR="00C406FA" w:rsidRPr="00C406FA" w:rsidRDefault="00C406FA" w:rsidP="00C406FA">
      <w:r w:rsidRPr="00C406FA">
        <w:t>If the time-series analysis supports the theory that cosmetics and household goods remain the primary drivers of total profit and are expected to continue performing well, then the business should consider reallocating resources to these categories to maximize overall profit. Additionally, since categories such as fruits, personal care, and beverages consistently produced the largest negative coefficients, those product types should be reassessed to determine whether there is a better way to improve profitability or whether they should be deprioritized within the business model.</w:t>
      </w:r>
    </w:p>
    <w:p w14:paraId="78BDF0E7" w14:textId="77777777" w:rsidR="00C406FA" w:rsidRPr="00C406FA" w:rsidRDefault="00C406FA" w:rsidP="00C406FA">
      <w:r w:rsidRPr="00C406FA">
        <w:t xml:space="preserve">Finally, a margin analysis, including unit price, unit cost, and units sold by item type, should be executed to determine how the household items and cosmetics categories are improving profit. If household goods and cosmetics cost substantially less to produce than they </w:t>
      </w:r>
      <w:proofErr w:type="gramStart"/>
      <w:r w:rsidRPr="00C406FA">
        <w:t>sell for</w:t>
      </w:r>
      <w:proofErr w:type="gramEnd"/>
      <w:r w:rsidRPr="00C406FA">
        <w:t xml:space="preserve"> on the market, and this is the primary driver of profit in those categories, then the business should focus on protecting and, if possible, expanding those margins. The business could also explore ways to reduce production costs and/or raise prices for other categories. Conversely, if demand volume is the driver, the business should focus on scaling supply and availability to maximize overall profit.</w:t>
      </w:r>
    </w:p>
    <w:p w14:paraId="29CFC31C" w14:textId="77777777" w:rsidR="00C406FA" w:rsidRPr="00C406FA" w:rsidRDefault="00C406FA" w:rsidP="00C406FA">
      <w:pPr>
        <w:rPr>
          <w:b/>
          <w:bCs/>
        </w:rPr>
      </w:pPr>
      <w:r w:rsidRPr="00C406FA">
        <w:rPr>
          <w:b/>
          <w:bCs/>
        </w:rPr>
        <w:t>Expected Benefits</w:t>
      </w:r>
    </w:p>
    <w:p w14:paraId="2FDB66D6" w14:textId="07A60EED" w:rsidR="00AC2534" w:rsidRPr="00AC2534" w:rsidRDefault="00AC2534" w:rsidP="00AC2534">
      <w:r w:rsidRPr="00AC2534">
        <w:t xml:space="preserve">The model identified a coefficient spread of over $1.6 million at the 95th percentile between the highest-performing item type, cosmetics (with a coefficient of $746,100), and the lowest-performing item type, fruits (with a coefficient of </w:t>
      </w:r>
      <w:r w:rsidR="004303FE">
        <w:t>-</w:t>
      </w:r>
      <w:r w:rsidRPr="00AC2534">
        <w:t>$886,200). In the near term, reallocating existing resources toward high-margin categories can increase total profit without requiring additional investment in resources to improve marketing</w:t>
      </w:r>
      <w:r w:rsidR="004303FE">
        <w:t xml:space="preserve"> or</w:t>
      </w:r>
      <w:r w:rsidRPr="00AC2534">
        <w:t xml:space="preserve"> expand current markets.</w:t>
      </w:r>
    </w:p>
    <w:p w14:paraId="0F04DCBD" w14:textId="77777777" w:rsidR="00AC2534" w:rsidRPr="00AC2534" w:rsidRDefault="00AC2534" w:rsidP="00AC2534">
      <w:r w:rsidRPr="00AC2534">
        <w:t>Later, conducting the proposed margin analysis will clarify whether the profit advantage in top-performing categories stems from pricing power, low production costs, or high demand volume. Establishing the exact reason why certain categories drive higher profit will help the company to both preserve that advantage as well as potentially reproduce the effect across other products.</w:t>
      </w:r>
    </w:p>
    <w:p w14:paraId="34857279" w14:textId="08975A3D" w:rsidR="004303FE" w:rsidRDefault="004303FE">
      <w:r>
        <w:br w:type="page"/>
      </w:r>
    </w:p>
    <w:p w14:paraId="316D9C38" w14:textId="08E76798" w:rsidR="008706A9" w:rsidRDefault="004303FE" w:rsidP="004303FE">
      <w:pPr>
        <w:jc w:val="center"/>
      </w:pPr>
      <w:r>
        <w:lastRenderedPageBreak/>
        <w:t>Works Cited</w:t>
      </w:r>
    </w:p>
    <w:p w14:paraId="7F1EF02A" w14:textId="56384BD4" w:rsidR="004303FE" w:rsidRPr="004303FE" w:rsidRDefault="004303FE" w:rsidP="004303FE">
      <w:r w:rsidRPr="004303FE">
        <w:t>Adel, O. (2025, July 27). Sales records. Kaggle.</w:t>
      </w:r>
      <w:r w:rsidR="006A5FF0">
        <w:t xml:space="preserve"> </w:t>
      </w:r>
      <w:hyperlink r:id="rId6" w:history="1">
        <w:r w:rsidR="006A5FF0" w:rsidRPr="004303FE">
          <w:rPr>
            <w:rStyle w:val="Hyperlink"/>
          </w:rPr>
          <w:t>https://www.kaggle.com/datasets/omaradel99/10000-sales-records?resource=download#</w:t>
        </w:r>
      </w:hyperlink>
    </w:p>
    <w:p w14:paraId="60F06A3A" w14:textId="77777777" w:rsidR="004303FE" w:rsidRPr="004303FE" w:rsidRDefault="004303FE" w:rsidP="004303FE">
      <w:proofErr w:type="spellStart"/>
      <w:r w:rsidRPr="004303FE">
        <w:t>Baissa</w:t>
      </w:r>
      <w:proofErr w:type="spellEnd"/>
      <w:r w:rsidRPr="004303FE">
        <w:t xml:space="preserve">, D. K. (2024). Chapter 10: Robust standard errors: Tackling heteroscedasticity. In A basic introduction to stats concepts. </w:t>
      </w:r>
      <w:proofErr w:type="spellStart"/>
      <w:r w:rsidRPr="004303FE">
        <w:t>bookdown</w:t>
      </w:r>
      <w:proofErr w:type="spellEnd"/>
      <w:r w:rsidRPr="004303FE">
        <w:t>.</w:t>
      </w:r>
    </w:p>
    <w:p w14:paraId="02280D5D" w14:textId="77777777" w:rsidR="004303FE" w:rsidRPr="004303FE" w:rsidRDefault="004303FE" w:rsidP="004303FE">
      <w:r w:rsidRPr="004303FE">
        <w:t xml:space="preserve">Bobbitt, Z. (2021, November 16). The five assumptions of multiple linear regression. </w:t>
      </w:r>
      <w:proofErr w:type="spellStart"/>
      <w:r w:rsidRPr="004303FE">
        <w:t>Statology</w:t>
      </w:r>
      <w:proofErr w:type="spellEnd"/>
      <w:r w:rsidRPr="004303FE">
        <w:t>.</w:t>
      </w:r>
    </w:p>
    <w:p w14:paraId="5595578A" w14:textId="77777777" w:rsidR="004303FE" w:rsidRDefault="004303FE" w:rsidP="004303FE">
      <w:hyperlink r:id="rId7" w:tgtFrame="_blank" w:history="1">
        <w:r w:rsidRPr="004303FE">
          <w:rPr>
            <w:rStyle w:val="Hyperlink"/>
          </w:rPr>
          <w:t>https://www.statology.org/multiple-linear-regression-assumptions/</w:t>
        </w:r>
      </w:hyperlink>
    </w:p>
    <w:p w14:paraId="3401BA98" w14:textId="77777777" w:rsidR="006A5FF0" w:rsidRDefault="006A5FF0" w:rsidP="004303FE">
      <w:proofErr w:type="spellStart"/>
      <w:r w:rsidRPr="006A5FF0">
        <w:t>Brenndoerfer</w:t>
      </w:r>
      <w:proofErr w:type="spellEnd"/>
      <w:r w:rsidRPr="006A5FF0">
        <w:t>, M. (2025, May 22). </w:t>
      </w:r>
      <w:r w:rsidRPr="006A5FF0">
        <w:rPr>
          <w:i/>
          <w:iCs/>
        </w:rPr>
        <w:t>Gauss-Markov assumptions: Foundation of linear regression &amp; OLS estimation</w:t>
      </w:r>
      <w:r w:rsidRPr="006A5FF0">
        <w:t>. </w:t>
      </w:r>
    </w:p>
    <w:p w14:paraId="294A1BFE" w14:textId="079C2B6B" w:rsidR="006A5FF0" w:rsidRPr="004303FE" w:rsidRDefault="006A5FF0" w:rsidP="004303FE">
      <w:hyperlink r:id="rId8" w:history="1">
        <w:r w:rsidRPr="0058593D">
          <w:rPr>
            <w:rStyle w:val="Hyperlink"/>
          </w:rPr>
          <w:t>https://mbrenndoerfer.com/writing/gauss-markov-assumptions-linear-regression-ols-blue-estimator</w:t>
        </w:r>
      </w:hyperlink>
    </w:p>
    <w:p w14:paraId="5D4C3029" w14:textId="77777777" w:rsidR="004303FE" w:rsidRPr="004303FE" w:rsidRDefault="004303FE" w:rsidP="004303FE">
      <w:r w:rsidRPr="004303FE">
        <w:t>Kaufman, R. L. (2013). Heteroskedasticity-consistent (Robust) standard errors. Heteroskedasticity in Regression: Detection and Correction, 43-50.</w:t>
      </w:r>
    </w:p>
    <w:p w14:paraId="4EE07C5F" w14:textId="77777777" w:rsidR="004303FE" w:rsidRPr="004303FE" w:rsidRDefault="004303FE" w:rsidP="004303FE">
      <w:hyperlink r:id="rId9" w:tgtFrame="_blank" w:history="1">
        <w:r w:rsidRPr="004303FE">
          <w:rPr>
            <w:rStyle w:val="Hyperlink"/>
          </w:rPr>
          <w:t>https://doi.org/10.4135/9781452270128.n4</w:t>
        </w:r>
      </w:hyperlink>
    </w:p>
    <w:p w14:paraId="15101C6F" w14:textId="77777777" w:rsidR="004303FE" w:rsidRPr="004303FE" w:rsidRDefault="004303FE" w:rsidP="004303FE">
      <w:r w:rsidRPr="004303FE">
        <w:t>Penn State Eberly College of Science. (n.d.). T.1.1 - Robust Regression Methods [Website]. The Pennsylvania State University.</w:t>
      </w:r>
    </w:p>
    <w:p w14:paraId="261F9296" w14:textId="77777777" w:rsidR="004303FE" w:rsidRPr="004303FE" w:rsidRDefault="004303FE" w:rsidP="004303FE">
      <w:hyperlink r:id="rId10" w:tgtFrame="_blank" w:history="1">
        <w:r w:rsidRPr="004303FE">
          <w:rPr>
            <w:rStyle w:val="Hyperlink"/>
          </w:rPr>
          <w:t>https://online.stat.psu.edu/stat501/lesson/t/t.1/t.1.1-robust-regression-methods</w:t>
        </w:r>
      </w:hyperlink>
    </w:p>
    <w:p w14:paraId="24474A2D" w14:textId="77777777" w:rsidR="004303FE" w:rsidRPr="004303FE" w:rsidRDefault="004303FE" w:rsidP="004303FE">
      <w:r w:rsidRPr="004303FE">
        <w:t xml:space="preserve">Quantile regression: A flexible alternative to linear regression. (n.d.). </w:t>
      </w:r>
      <w:proofErr w:type="spellStart"/>
      <w:r w:rsidRPr="004303FE">
        <w:t>Alfasoft</w:t>
      </w:r>
      <w:proofErr w:type="spellEnd"/>
      <w:r w:rsidRPr="004303FE">
        <w:t>.</w:t>
      </w:r>
    </w:p>
    <w:p w14:paraId="5DF57757" w14:textId="77777777" w:rsidR="004303FE" w:rsidRPr="004303FE" w:rsidRDefault="004303FE" w:rsidP="004303FE">
      <w:hyperlink r:id="rId11" w:tgtFrame="_blank" w:history="1">
        <w:r w:rsidRPr="004303FE">
          <w:rPr>
            <w:rStyle w:val="Hyperlink"/>
          </w:rPr>
          <w:t>https://alfasoft.com/blog/products/statistics-and-data-analysis/quantile-regression-a-flexible-alternative-to-linear-regression/</w:t>
        </w:r>
      </w:hyperlink>
    </w:p>
    <w:p w14:paraId="2CF01A06" w14:textId="77777777" w:rsidR="004303FE" w:rsidRPr="004303FE" w:rsidRDefault="004303FE" w:rsidP="004303FE">
      <w:proofErr w:type="spellStart"/>
      <w:r w:rsidRPr="004303FE">
        <w:t>Zilfimian</w:t>
      </w:r>
      <w:proofErr w:type="spellEnd"/>
      <w:r w:rsidRPr="004303FE">
        <w:t>, L. (2020, February 16). Solving the problem of heteroscedasticity through weighted regression. Medium.</w:t>
      </w:r>
    </w:p>
    <w:p w14:paraId="122334B8" w14:textId="77777777" w:rsidR="004303FE" w:rsidRPr="004303FE" w:rsidRDefault="004303FE" w:rsidP="004303FE">
      <w:hyperlink r:id="rId12" w:tgtFrame="_blank" w:history="1">
        <w:r w:rsidRPr="004303FE">
          <w:rPr>
            <w:rStyle w:val="Hyperlink"/>
          </w:rPr>
          <w:t>https://medium.com/datamotus/solving-the-problem-of-heteroscedasticity-through-weighted-regression-e4a22f1afa6b</w:t>
        </w:r>
      </w:hyperlink>
    </w:p>
    <w:p w14:paraId="6BCD0DB5" w14:textId="77777777" w:rsidR="004303FE" w:rsidRDefault="004303FE"/>
    <w:sectPr w:rsidR="004303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33C0C"/>
    <w:multiLevelType w:val="multilevel"/>
    <w:tmpl w:val="9152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567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6A9"/>
    <w:rsid w:val="00191791"/>
    <w:rsid w:val="003E1D34"/>
    <w:rsid w:val="004303FE"/>
    <w:rsid w:val="00466584"/>
    <w:rsid w:val="0050044F"/>
    <w:rsid w:val="005007E8"/>
    <w:rsid w:val="00506D19"/>
    <w:rsid w:val="005439A1"/>
    <w:rsid w:val="00656F9F"/>
    <w:rsid w:val="006A07E4"/>
    <w:rsid w:val="006A5FF0"/>
    <w:rsid w:val="006E0CB9"/>
    <w:rsid w:val="008706A9"/>
    <w:rsid w:val="00951645"/>
    <w:rsid w:val="00A107BB"/>
    <w:rsid w:val="00A32B81"/>
    <w:rsid w:val="00A40901"/>
    <w:rsid w:val="00AC2534"/>
    <w:rsid w:val="00BF34E6"/>
    <w:rsid w:val="00C406FA"/>
    <w:rsid w:val="00D525F9"/>
    <w:rsid w:val="00D85376"/>
    <w:rsid w:val="00DD4A67"/>
    <w:rsid w:val="00E42638"/>
    <w:rsid w:val="00E76E6F"/>
    <w:rsid w:val="00F73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35ED0"/>
  <w15:chartTrackingRefBased/>
  <w15:docId w15:val="{F1BC5AED-B0ED-45EC-B5FF-1DACA5652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6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6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6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6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6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6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6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6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6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6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6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6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6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6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6A9"/>
    <w:rPr>
      <w:rFonts w:eastAsiaTheme="majorEastAsia" w:cstheme="majorBidi"/>
      <w:color w:val="272727" w:themeColor="text1" w:themeTint="D8"/>
    </w:rPr>
  </w:style>
  <w:style w:type="paragraph" w:styleId="Title">
    <w:name w:val="Title"/>
    <w:basedOn w:val="Normal"/>
    <w:next w:val="Normal"/>
    <w:link w:val="TitleChar"/>
    <w:uiPriority w:val="10"/>
    <w:qFormat/>
    <w:rsid w:val="00870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6A9"/>
    <w:pPr>
      <w:spacing w:before="160"/>
      <w:jc w:val="center"/>
    </w:pPr>
    <w:rPr>
      <w:i/>
      <w:iCs/>
      <w:color w:val="404040" w:themeColor="text1" w:themeTint="BF"/>
    </w:rPr>
  </w:style>
  <w:style w:type="character" w:customStyle="1" w:styleId="QuoteChar">
    <w:name w:val="Quote Char"/>
    <w:basedOn w:val="DefaultParagraphFont"/>
    <w:link w:val="Quote"/>
    <w:uiPriority w:val="29"/>
    <w:rsid w:val="008706A9"/>
    <w:rPr>
      <w:i/>
      <w:iCs/>
      <w:color w:val="404040" w:themeColor="text1" w:themeTint="BF"/>
    </w:rPr>
  </w:style>
  <w:style w:type="paragraph" w:styleId="ListParagraph">
    <w:name w:val="List Paragraph"/>
    <w:basedOn w:val="Normal"/>
    <w:uiPriority w:val="34"/>
    <w:qFormat/>
    <w:rsid w:val="008706A9"/>
    <w:pPr>
      <w:ind w:left="720"/>
      <w:contextualSpacing/>
    </w:pPr>
  </w:style>
  <w:style w:type="character" w:styleId="IntenseEmphasis">
    <w:name w:val="Intense Emphasis"/>
    <w:basedOn w:val="DefaultParagraphFont"/>
    <w:uiPriority w:val="21"/>
    <w:qFormat/>
    <w:rsid w:val="008706A9"/>
    <w:rPr>
      <w:i/>
      <w:iCs/>
      <w:color w:val="0F4761" w:themeColor="accent1" w:themeShade="BF"/>
    </w:rPr>
  </w:style>
  <w:style w:type="paragraph" w:styleId="IntenseQuote">
    <w:name w:val="Intense Quote"/>
    <w:basedOn w:val="Normal"/>
    <w:next w:val="Normal"/>
    <w:link w:val="IntenseQuoteChar"/>
    <w:uiPriority w:val="30"/>
    <w:qFormat/>
    <w:rsid w:val="00870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6A9"/>
    <w:rPr>
      <w:i/>
      <w:iCs/>
      <w:color w:val="0F4761" w:themeColor="accent1" w:themeShade="BF"/>
    </w:rPr>
  </w:style>
  <w:style w:type="character" w:styleId="IntenseReference">
    <w:name w:val="Intense Reference"/>
    <w:basedOn w:val="DefaultParagraphFont"/>
    <w:uiPriority w:val="32"/>
    <w:qFormat/>
    <w:rsid w:val="008706A9"/>
    <w:rPr>
      <w:b/>
      <w:bCs/>
      <w:smallCaps/>
      <w:color w:val="0F4761" w:themeColor="accent1" w:themeShade="BF"/>
      <w:spacing w:val="5"/>
    </w:rPr>
  </w:style>
  <w:style w:type="character" w:styleId="Hyperlink">
    <w:name w:val="Hyperlink"/>
    <w:basedOn w:val="DefaultParagraphFont"/>
    <w:uiPriority w:val="99"/>
    <w:unhideWhenUsed/>
    <w:rsid w:val="008706A9"/>
    <w:rPr>
      <w:color w:val="467886" w:themeColor="hyperlink"/>
      <w:u w:val="single"/>
    </w:rPr>
  </w:style>
  <w:style w:type="character" w:styleId="UnresolvedMention">
    <w:name w:val="Unresolved Mention"/>
    <w:basedOn w:val="DefaultParagraphFont"/>
    <w:uiPriority w:val="99"/>
    <w:semiHidden/>
    <w:unhideWhenUsed/>
    <w:rsid w:val="008706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brenndoerfer.com/writing/gauss-markov-assumptions-linear-regression-ols-blue-estimato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tatology.org/multiple-linear-regression-assumptions/" TargetMode="External"/><Relationship Id="rId12" Type="http://schemas.openxmlformats.org/officeDocument/2006/relationships/hyperlink" Target="https://medium.com/datamotus/solving-the-problem-of-heteroscedasticity-through-weighted-regression-e4a22f1afa6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omaradel99/10000-sales-records?resource=download" TargetMode="External"/><Relationship Id="rId11" Type="http://schemas.openxmlformats.org/officeDocument/2006/relationships/hyperlink" Target="https://alfasoft.com/blog/products/statistics-and-data-analysis/quantile-regression-a-flexible-alternative-to-linear-regression/" TargetMode="External"/><Relationship Id="rId5" Type="http://schemas.openxmlformats.org/officeDocument/2006/relationships/hyperlink" Target="mailto:djo3593@wgu.edu" TargetMode="External"/><Relationship Id="rId10" Type="http://schemas.openxmlformats.org/officeDocument/2006/relationships/hyperlink" Target="https://online.stat.psu.edu/stat501/lesson/t/t.1/t.1.1-robust-regression-methods" TargetMode="External"/><Relationship Id="rId4" Type="http://schemas.openxmlformats.org/officeDocument/2006/relationships/webSettings" Target="webSettings.xml"/><Relationship Id="rId9" Type="http://schemas.openxmlformats.org/officeDocument/2006/relationships/hyperlink" Target="https://doi.org/10.4135/9781452270128.n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511</TotalTime>
  <Pages>6</Pages>
  <Words>2256</Words>
  <Characters>12862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Devon Johnson</dc:creator>
  <cp:keywords/>
  <dc:description/>
  <cp:lastModifiedBy>Devon Johnson</cp:lastModifiedBy>
  <cp:revision>12</cp:revision>
  <dcterms:created xsi:type="dcterms:W3CDTF">2026-04-29T10:13:00Z</dcterms:created>
  <dcterms:modified xsi:type="dcterms:W3CDTF">2026-05-07T15:50:00Z</dcterms:modified>
</cp:coreProperties>
</file>