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맑은 고딕" w:hAnsi="맑은 고딕" w:eastAsia="맑은 고딕"/>
          <w:b/>
          <w:color w:val="1F3B63"/>
          <w:sz w:val="32"/>
        </w:rPr>
        <w:t>지산지소형 마이크로그리드 확산 매뉴얼 연구용역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F3B63"/>
          <w:sz w:val="26"/>
        </w:rPr>
        <w:t>인력 구성 및 예산 산출내역서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sz w:val="16"/>
        </w:rPr>
        <w:t>근거: 「마이크로그리드 기반 지산지소형 에너지자립 모델 시범사업 업무협약 제안서 초안(MOU)」(한국에너지공단(기후에너지환경부)·전남광주통합특별시, 2026. 7.)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3B63"/>
          <w:sz w:val="22"/>
        </w:rPr>
        <w:t>1. 과업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8164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용역명(안)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지산지소형 마이크로그리드 시범사업 확산을 위한 제도·예산·기술 매뉴얼 개발 연구용역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발주처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전남광주통합특별시 (MOU 제4조: 연구용역 비용 부담 주체)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과업기간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계약일로부터 8개월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과업범위</w:t>
            </w:r>
          </w:p>
        </w:tc>
        <w:tc>
          <w:tcPr>
            <w:tcW w:type="dxa" w:w="8164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 시범 10개소(50MW: 읍면 주민자치회형 3, 도시 협동조합형 3, 행정리 햇빛소득마을형 4) 실증과정 분석  ② 전국 확산형 제도·예산·기술 매뉴얼 3종 제작  ③ 사회연대경제(협동조합) 기반 운영모델 설계  ④ 재원조달(지방소멸대응기금·시민펀드 15%+5% 자부담) 모델화  ⑤ TFT(공단·특별시·2개 군) 연구 지원</w:t>
            </w:r>
          </w:p>
        </w:tc>
      </w:tr>
    </w:tbl>
    <w:p>
      <w:pPr>
        <w:spacing w:before="160" w:after="60"/>
      </w:pPr>
      <w:r>
        <w:rPr>
          <w:rFonts w:ascii="맑은 고딕" w:hAnsi="맑은 고딕" w:eastAsia="맑은 고딕"/>
          <w:b/>
          <w:color w:val="1F3B63"/>
          <w:sz w:val="22"/>
        </w:rPr>
        <w:t>2. 인력 구성 — 총 10명 (분야 × 인원)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3515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분야</w:t>
            </w:r>
          </w:p>
        </w:tc>
        <w:tc>
          <w:tcPr>
            <w:tcW w:type="dxa" w:w="624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인원</w:t>
            </w:r>
          </w:p>
        </w:tc>
        <w:tc>
          <w:tcPr>
            <w:tcW w:type="dxa" w:w="4252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주요 담당 과업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책임연구원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에너지정책 총괄(분산에너지·에너지자립)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 총괄, 매뉴얼 체계 설계, TFT 대응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마이크로그리드 기술(분산전원·ESS·EMS·계통연계)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10개소 기술 실증 분석, 기술 매뉴얼, 계통연계 협의 지원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제도·법제(분산에너지특별법, 조례, 인허가)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제도 매뉴얼, 조례 표준안, 인허가 절차 정비안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재정·금융(지방소멸대응기금, 시민펀드, 정책금융)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예산 매뉴얼, 자부담 15%+5% 재원조달 구조 설계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사회연대경제·협동조합(운영모델)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협동조합 운영모델, 마을월급·기본소득 연계 방안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주민조직화·주민자치(주민자치회, 햇빛소득마을)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유형별 주민 참여·조직화 모델, 수용성 제고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연구보조원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조사·분석 및 매뉴얼 편집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현장조사·설문·FGI 실사, 데이터 정리, 매뉴얼 편집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보조원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행정 지원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회계·행정, 회의·보고회 운영 지원</w:t>
            </w:r>
          </w:p>
        </w:tc>
      </w:tr>
    </w:tbl>
    <w:p>
      <w:pPr>
        <w:spacing w:before="40" w:after="80"/>
      </w:pPr>
      <w:r>
        <w:rPr>
          <w:rFonts w:ascii="맑은 고딕" w:hAnsi="맑은 고딕" w:eastAsia="맑은 고딕"/>
          <w:b w:val="0"/>
          <w:sz w:val="15"/>
        </w:rPr>
        <w:t>※ 시범 3개 유형(주민자치회형·협동조합형·햇빛소득마을형)과 매뉴얼 3종(제도·예산·기술)에 분야를 대응시킨 구성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3B63"/>
          <w:sz w:val="22"/>
        </w:rPr>
        <w:t>3. 예산 산출내역서 (과업기간 8개월)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17"/>
        </w:rPr>
        <w:t>3-1. 인건비  ※ 기획재정부 「학술연구용역 인건비 기준단가」 체계 적용(2026년 추정 단가, 계약 시 고시 단가로 조정)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24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56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인원</w:t>
            </w:r>
          </w:p>
        </w:tc>
        <w:tc>
          <w:tcPr>
            <w:tcW w:type="dxa" w:w="141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기준단가(원/월)</w:t>
            </w:r>
          </w:p>
        </w:tc>
        <w:tc>
          <w:tcPr>
            <w:tcW w:type="dxa" w:w="73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참여율</w:t>
            </w:r>
          </w:p>
        </w:tc>
        <w:tc>
          <w:tcPr>
            <w:tcW w:type="dxa" w:w="794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기간</w:t>
            </w:r>
          </w:p>
        </w:tc>
        <w:tc>
          <w:tcPr>
            <w:tcW w:type="dxa" w:w="2778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산출식</w:t>
            </w:r>
          </w:p>
        </w:tc>
        <w:tc>
          <w:tcPr>
            <w:tcW w:type="dxa" w:w="2098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금액(원)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책임연구원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3,700,000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50%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8개월</w:t>
            </w:r>
          </w:p>
        </w:tc>
        <w:tc>
          <w:tcPr>
            <w:tcW w:type="dxa" w:w="277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1인×3,700,000×0.5×8</w:t>
            </w:r>
          </w:p>
        </w:tc>
        <w:tc>
          <w:tcPr>
            <w:tcW w:type="dxa" w:w="209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14,800,000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연구원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2,800,000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40%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8개월</w:t>
            </w:r>
          </w:p>
        </w:tc>
        <w:tc>
          <w:tcPr>
            <w:tcW w:type="dxa" w:w="277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6인×2,800,000×0.4×8</w:t>
            </w:r>
          </w:p>
        </w:tc>
        <w:tc>
          <w:tcPr>
            <w:tcW w:type="dxa" w:w="209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53,760,000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연구보조원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1,900,000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70%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8개월</w:t>
            </w:r>
          </w:p>
        </w:tc>
        <w:tc>
          <w:tcPr>
            <w:tcW w:type="dxa" w:w="277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2인×1,900,000×0.7×8</w:t>
            </w:r>
          </w:p>
        </w:tc>
        <w:tc>
          <w:tcPr>
            <w:tcW w:type="dxa" w:w="209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21,280,000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보조원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1,400,000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50%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8개월</w:t>
            </w:r>
          </w:p>
        </w:tc>
        <w:tc>
          <w:tcPr>
            <w:tcW w:type="dxa" w:w="277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1인×1,400,000×0.5×8</w:t>
            </w:r>
          </w:p>
        </w:tc>
        <w:tc>
          <w:tcPr>
            <w:tcW w:type="dxa" w:w="209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5,600,000</w:t>
            </w:r>
          </w:p>
        </w:tc>
      </w:tr>
      <w:tr>
        <w:tc>
          <w:tcPr>
            <w:tcW w:type="dxa" w:w="1247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소계</w:t>
            </w:r>
          </w:p>
        </w:tc>
        <w:tc>
          <w:tcPr>
            <w:tcW w:type="dxa" w:w="567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10</w:t>
            </w:r>
          </w:p>
        </w:tc>
        <w:tc>
          <w:tcPr>
            <w:tcW w:type="dxa" w:w="1417"/>
            <w:shd w:val="clear" w:fill="F2F2F2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737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794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2778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2098"/>
            <w:shd w:val="clear" w:fill="F2F2F2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95,440,000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17"/>
        </w:rPr>
        <w:t>3-2. 직접경비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3402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산출식</w:t>
            </w:r>
          </w:p>
        </w:tc>
        <w:tc>
          <w:tcPr>
            <w:tcW w:type="dxa" w:w="1587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금액(원)</w:t>
            </w:r>
          </w:p>
        </w:tc>
        <w:tc>
          <w:tcPr>
            <w:tcW w:type="dxa" w:w="2721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국내여비(현장조사)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40회 × 150,000원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2개 군 10개소 실증 현장조사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회의비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16회 × 300,000원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4,800,000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TFT 월례회의(8회)·자문회의(8회)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전문가 자문비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20인·회 × 300,000원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계통·법제·금융·협동조합 자문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설문·FGI 조사비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FGI 10회×700,000원 + 설문 1식 3,000,000원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개소별 FGI, 주민 수용성 설문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자료수집·문헌구입비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1식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국내외 도서(섬) 마이크로그리드 사례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인쇄·매뉴얼 제작비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매뉴얼 3종 디자인·인쇄 1식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12,000,000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전국 확산 배포용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소모품·유인물비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8개월 × 187,500원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1,500,000</w:t>
            </w:r>
          </w:p>
        </w:tc>
        <w:tc>
          <w:tcPr>
            <w:tcW w:type="dxa" w:w="272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보고회 개최비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3회 × 1,000,000원</w:t>
            </w:r>
          </w:p>
        </w:tc>
        <w:tc>
          <w:tcPr>
            <w:tcW w:type="dxa" w:w="1587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3,000,000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착수·중간·최종보고회</w:t>
            </w:r>
          </w:p>
        </w:tc>
      </w:tr>
      <w:tr>
        <w:tc>
          <w:tcPr>
            <w:tcW w:type="dxa" w:w="1928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소계</w:t>
            </w:r>
          </w:p>
        </w:tc>
        <w:tc>
          <w:tcPr>
            <w:tcW w:type="dxa" w:w="3402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1587"/>
            <w:shd w:val="clear" w:fill="F2F2F2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45,300,000</w:t>
            </w:r>
          </w:p>
        </w:tc>
        <w:tc>
          <w:tcPr>
            <w:tcW w:type="dxa" w:w="2721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sz w:val="17"/>
        </w:rPr>
        <w:t>3-3. 총괄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4535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산출식</w:t>
            </w:r>
          </w:p>
        </w:tc>
        <w:tc>
          <w:tcPr>
            <w:tcW w:type="dxa" w:w="3288"/>
            <w:shd w:val="clear" w:fill="DCE6F1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금액(원)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인건비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3-1 소계</w:t>
            </w:r>
          </w:p>
        </w:tc>
        <w:tc>
          <w:tcPr>
            <w:tcW w:type="dxa" w:w="328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95,440,000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직접경비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3-2 소계</w:t>
            </w:r>
          </w:p>
        </w:tc>
        <w:tc>
          <w:tcPr>
            <w:tcW w:type="dxa" w:w="328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45,300,000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일반관리비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(인건비＋직접경비) × 5%</w:t>
            </w:r>
          </w:p>
        </w:tc>
        <w:tc>
          <w:tcPr>
            <w:tcW w:type="dxa" w:w="328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7,037,000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이윤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(인건비＋직접경비＋일반관리비) × 7%</w:t>
            </w:r>
          </w:p>
        </w:tc>
        <w:tc>
          <w:tcPr>
            <w:tcW w:type="dxa" w:w="328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10,344,000</w:t>
            </w:r>
          </w:p>
        </w:tc>
      </w:tr>
      <w:tr>
        <w:tc>
          <w:tcPr>
            <w:tcW w:type="dxa" w:w="1814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공급가액 계</w:t>
            </w:r>
          </w:p>
        </w:tc>
        <w:tc>
          <w:tcPr>
            <w:tcW w:type="dxa" w:w="4535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3288"/>
            <w:shd w:val="clear" w:fill="F2F2F2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158,121,000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부가가치세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공급가액 × 10%</w:t>
            </w:r>
          </w:p>
        </w:tc>
        <w:tc>
          <w:tcPr>
            <w:tcW w:type="dxa" w:w="3288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15,812,000</w:t>
            </w:r>
          </w:p>
        </w:tc>
      </w:tr>
      <w:tr>
        <w:tc>
          <w:tcPr>
            <w:tcW w:type="dxa" w:w="1814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총 사업비</w:t>
            </w:r>
          </w:p>
        </w:tc>
        <w:tc>
          <w:tcPr>
            <w:tcW w:type="dxa" w:w="4535"/>
            <w:shd w:val="clear" w:fill="F2F2F2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3288"/>
            <w:shd w:val="clear" w:fill="F2F2F2"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173,933,000</w:t>
            </w:r>
          </w:p>
        </w:tc>
      </w:tr>
    </w:tbl>
    <w:p>
      <w:pPr>
        <w:spacing w:before="80" w:after="120"/>
      </w:pPr>
      <w:r>
        <w:rPr>
          <w:rFonts w:ascii="맑은 고딕" w:hAnsi="맑은 고딕" w:eastAsia="맑은 고딕"/>
          <w:b/>
          <w:color w:val="1F3B63"/>
          <w:sz w:val="19"/>
        </w:rPr>
        <w:t>총 사업비: 약 174백만 원(부가세 포함) — 예산 편성 시 175,000,000원 내외 계상 권장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3B63"/>
          <w:sz w:val="22"/>
        </w:rPr>
        <w:t>4. 산출 전제 및 유의사항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sz w:val="17"/>
        </w:rPr>
        <w:t>· 일반관리비 5% 이내, 이윤 10% 이내(본 산출 7%) — 「국가를 당사자로 하는 계약에 관한 법률 시행규칙」 및 기획재정부 계약예규(학술용역 원가계산) 기준 적용.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sz w:val="17"/>
        </w:rPr>
        <w:t>· 인건비 기준단가는 2026년 단가 미공표 시점의 추정치로, 계약 시점 고시 단가로 정산 조정.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sz w:val="17"/>
        </w:rPr>
        <w:t>· 참여율은 시범사업 TFT 병행 수행을 전제로 한 값이며, 인프라 설치·실증(3단계) 일정과 연구 일정이 겹치는 경우 기술 분야 연구원 참여율 상향(40→50%) 검토 필요.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sz w:val="17"/>
        </w:rPr>
        <w:t>· 8개월 권장 일정: 1~2개월 착수·기초조사 → 3~5개월 개소별 실증 분석·중간보고 → 6~7개월 매뉴얼 3종 초안·검증 → 8개월 최종보고·인쇄 납품.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sz w:val="17"/>
        </w:rPr>
        <w:t>· 매뉴얼 인쇄 부수 확대(전국 배포), 해외사례 조사 추가 시 직접경비 증액 필요.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