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F51" w:rsidRDefault="008A5CBA">
      <w:pPr>
        <w:rPr>
          <w:sz w:val="32"/>
          <w:szCs w:val="32"/>
          <w:rtl/>
        </w:rPr>
      </w:pPr>
      <w:r w:rsidRPr="008A5CBA">
        <w:rPr>
          <w:rFonts w:hint="cs"/>
          <w:sz w:val="32"/>
          <w:szCs w:val="32"/>
          <w:rtl/>
        </w:rPr>
        <w:t xml:space="preserve">"גן הדובדבנים" מוזיאון </w:t>
      </w:r>
      <w:proofErr w:type="spellStart"/>
      <w:r w:rsidRPr="008A5CBA">
        <w:rPr>
          <w:rFonts w:hint="cs"/>
          <w:sz w:val="32"/>
          <w:szCs w:val="32"/>
          <w:rtl/>
        </w:rPr>
        <w:t>עוקשי</w:t>
      </w:r>
      <w:proofErr w:type="spellEnd"/>
      <w:r w:rsidRPr="008A5CBA">
        <w:rPr>
          <w:rFonts w:hint="cs"/>
          <w:sz w:val="32"/>
          <w:szCs w:val="32"/>
          <w:rtl/>
        </w:rPr>
        <w:t xml:space="preserve"> 2016</w:t>
      </w:r>
    </w:p>
    <w:p w:rsidR="00EA110B" w:rsidRDefault="008A5CBA" w:rsidP="002C2BA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במוזיאון </w:t>
      </w:r>
      <w:proofErr w:type="spellStart"/>
      <w:r>
        <w:rPr>
          <w:rFonts w:hint="cs"/>
          <w:sz w:val="24"/>
          <w:szCs w:val="24"/>
          <w:rtl/>
        </w:rPr>
        <w:t>עוקשי</w:t>
      </w:r>
      <w:proofErr w:type="spellEnd"/>
      <w:r>
        <w:rPr>
          <w:rFonts w:hint="cs"/>
          <w:sz w:val="24"/>
          <w:szCs w:val="24"/>
          <w:rtl/>
        </w:rPr>
        <w:t xml:space="preserve"> </w:t>
      </w:r>
      <w:r w:rsidR="002C2BA8">
        <w:rPr>
          <w:rFonts w:hint="cs"/>
          <w:sz w:val="24"/>
          <w:szCs w:val="24"/>
          <w:rtl/>
        </w:rPr>
        <w:t xml:space="preserve">בעכו </w:t>
      </w:r>
      <w:r>
        <w:rPr>
          <w:rFonts w:hint="cs"/>
          <w:sz w:val="24"/>
          <w:szCs w:val="24"/>
          <w:rtl/>
        </w:rPr>
        <w:t>הציגו</w:t>
      </w:r>
      <w:r w:rsidR="002C2BA8">
        <w:rPr>
          <w:rFonts w:hint="cs"/>
          <w:sz w:val="24"/>
          <w:szCs w:val="24"/>
          <w:rtl/>
        </w:rPr>
        <w:t xml:space="preserve"> 6 </w:t>
      </w:r>
      <w:r>
        <w:rPr>
          <w:rFonts w:hint="cs"/>
          <w:sz w:val="24"/>
          <w:szCs w:val="24"/>
          <w:rtl/>
        </w:rPr>
        <w:t xml:space="preserve"> אומנים מרחבי הארץ פרשנות על המחזה של צ'כוב, גן הדובדבנים. כל אחד בדרכו </w:t>
      </w:r>
      <w:r w:rsidR="00D5437A">
        <w:rPr>
          <w:rFonts w:hint="cs"/>
          <w:sz w:val="24"/>
          <w:szCs w:val="24"/>
          <w:rtl/>
        </w:rPr>
        <w:t xml:space="preserve">. </w:t>
      </w:r>
      <w:r>
        <w:rPr>
          <w:rFonts w:hint="cs"/>
          <w:sz w:val="24"/>
          <w:szCs w:val="24"/>
          <w:rtl/>
        </w:rPr>
        <w:t>חלק התייחסו לאוויר</w:t>
      </w:r>
      <w:r>
        <w:rPr>
          <w:rFonts w:hint="eastAsia"/>
          <w:sz w:val="24"/>
          <w:szCs w:val="24"/>
          <w:rtl/>
        </w:rPr>
        <w:t>ה</w:t>
      </w:r>
      <w:r>
        <w:rPr>
          <w:rFonts w:hint="cs"/>
          <w:sz w:val="24"/>
          <w:szCs w:val="24"/>
          <w:rtl/>
        </w:rPr>
        <w:t xml:space="preserve">, חלק לפריחה, חלק לעצים. </w:t>
      </w:r>
      <w:r w:rsidR="00EA110B" w:rsidRPr="00EA110B">
        <w:rPr>
          <w:rFonts w:cs="Arial"/>
          <w:sz w:val="24"/>
          <w:szCs w:val="24"/>
          <w:rtl/>
        </w:rPr>
        <w:t>גם הטכניקות והשימוש בשפה היו שונים</w:t>
      </w:r>
      <w:r w:rsidR="00710573">
        <w:rPr>
          <w:rFonts w:hint="cs"/>
          <w:sz w:val="24"/>
          <w:szCs w:val="24"/>
          <w:rtl/>
        </w:rPr>
        <w:t xml:space="preserve">, </w:t>
      </w:r>
      <w:r w:rsidR="00D5437A">
        <w:rPr>
          <w:rFonts w:hint="cs"/>
          <w:sz w:val="24"/>
          <w:szCs w:val="24"/>
          <w:rtl/>
        </w:rPr>
        <w:t>היית</w:t>
      </w:r>
      <w:r w:rsidR="00D5437A">
        <w:rPr>
          <w:rFonts w:hint="eastAsia"/>
          <w:sz w:val="24"/>
          <w:szCs w:val="24"/>
          <w:rtl/>
        </w:rPr>
        <w:t>ה</w:t>
      </w:r>
      <w:r w:rsidR="00EA110B">
        <w:rPr>
          <w:rFonts w:hint="cs"/>
          <w:sz w:val="24"/>
          <w:szCs w:val="24"/>
          <w:rtl/>
        </w:rPr>
        <w:t xml:space="preserve"> גם גישה אחת יותר גרפית</w:t>
      </w:r>
    </w:p>
    <w:p w:rsidR="00EA110B" w:rsidRDefault="008A5CBA" w:rsidP="00EA110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. התערוכה התייחסה גם ללאה גולדברג שפרשה </w:t>
      </w:r>
      <w:r w:rsidR="00EA110B">
        <w:rPr>
          <w:rFonts w:hint="cs"/>
          <w:sz w:val="24"/>
          <w:szCs w:val="24"/>
          <w:rtl/>
        </w:rPr>
        <w:t xml:space="preserve">והתייחסה </w:t>
      </w:r>
      <w:r>
        <w:rPr>
          <w:rFonts w:hint="cs"/>
          <w:sz w:val="24"/>
          <w:szCs w:val="24"/>
          <w:rtl/>
        </w:rPr>
        <w:t xml:space="preserve">בדרכה </w:t>
      </w:r>
      <w:r w:rsidR="00EA110B">
        <w:rPr>
          <w:rFonts w:hint="cs"/>
          <w:sz w:val="24"/>
          <w:szCs w:val="24"/>
          <w:rtl/>
        </w:rPr>
        <w:t xml:space="preserve">אל </w:t>
      </w:r>
      <w:r>
        <w:rPr>
          <w:rFonts w:hint="cs"/>
          <w:sz w:val="24"/>
          <w:szCs w:val="24"/>
          <w:rtl/>
        </w:rPr>
        <w:t>צ'כוב וא</w:t>
      </w:r>
      <w:r w:rsidR="00EA110B">
        <w:rPr>
          <w:rFonts w:hint="cs"/>
          <w:sz w:val="24"/>
          <w:szCs w:val="24"/>
          <w:rtl/>
        </w:rPr>
        <w:t xml:space="preserve">ל  </w:t>
      </w:r>
      <w:r>
        <w:rPr>
          <w:rFonts w:hint="cs"/>
          <w:sz w:val="24"/>
          <w:szCs w:val="24"/>
          <w:rtl/>
        </w:rPr>
        <w:t xml:space="preserve">המחזה </w:t>
      </w:r>
      <w:r w:rsidR="005F3DB6">
        <w:rPr>
          <w:rFonts w:hint="cs"/>
          <w:sz w:val="24"/>
          <w:szCs w:val="24"/>
          <w:rtl/>
        </w:rPr>
        <w:t>"</w:t>
      </w:r>
      <w:r>
        <w:rPr>
          <w:rFonts w:hint="cs"/>
          <w:sz w:val="24"/>
          <w:szCs w:val="24"/>
          <w:rtl/>
        </w:rPr>
        <w:t>גן הדובדבנים"</w:t>
      </w:r>
      <w:r w:rsidR="00EA110B">
        <w:rPr>
          <w:rFonts w:hint="cs"/>
          <w:sz w:val="24"/>
          <w:szCs w:val="24"/>
          <w:rtl/>
        </w:rPr>
        <w:t xml:space="preserve">. </w:t>
      </w:r>
    </w:p>
    <w:p w:rsidR="002C2BA8" w:rsidRDefault="00EA110B" w:rsidP="002C2BA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אני התייחסתי </w:t>
      </w:r>
      <w:r w:rsidR="00473CB0">
        <w:rPr>
          <w:rFonts w:hint="cs"/>
          <w:sz w:val="24"/>
          <w:szCs w:val="24"/>
          <w:rtl/>
        </w:rPr>
        <w:t>למחזה ולעלילה ב</w:t>
      </w:r>
      <w:r>
        <w:rPr>
          <w:rFonts w:hint="cs"/>
          <w:sz w:val="24"/>
          <w:szCs w:val="24"/>
          <w:rtl/>
        </w:rPr>
        <w:t>ארבעה רישומים</w:t>
      </w:r>
      <w:r w:rsidR="005F3DB6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בקו מתוך</w:t>
      </w:r>
      <w:r w:rsidR="005F3DB6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המחזה</w:t>
      </w:r>
      <w:r w:rsidR="002C2BA8">
        <w:rPr>
          <w:rFonts w:hint="cs"/>
          <w:sz w:val="24"/>
          <w:szCs w:val="24"/>
          <w:rtl/>
        </w:rPr>
        <w:t xml:space="preserve"> שלכדו את עיני</w:t>
      </w:r>
      <w:r>
        <w:rPr>
          <w:rFonts w:hint="cs"/>
          <w:sz w:val="24"/>
          <w:szCs w:val="24"/>
          <w:rtl/>
        </w:rPr>
        <w:t xml:space="preserve"> </w:t>
      </w:r>
      <w:r w:rsidR="002C2BA8">
        <w:rPr>
          <w:rFonts w:hint="cs"/>
          <w:sz w:val="24"/>
          <w:szCs w:val="24"/>
          <w:rtl/>
        </w:rPr>
        <w:t xml:space="preserve">ממהלך המחזה , </w:t>
      </w:r>
      <w:proofErr w:type="spellStart"/>
      <w:r>
        <w:rPr>
          <w:rFonts w:hint="cs"/>
          <w:sz w:val="24"/>
          <w:szCs w:val="24"/>
          <w:rtl/>
        </w:rPr>
        <w:t>ובדיפטיכו</w:t>
      </w:r>
      <w:r>
        <w:rPr>
          <w:rFonts w:hint="eastAsia"/>
          <w:sz w:val="24"/>
          <w:szCs w:val="24"/>
          <w:rtl/>
        </w:rPr>
        <w:t>ן</w:t>
      </w:r>
      <w:proofErr w:type="spellEnd"/>
      <w:r w:rsidR="005F3DB6">
        <w:rPr>
          <w:rFonts w:hint="cs"/>
          <w:sz w:val="24"/>
          <w:szCs w:val="24"/>
          <w:rtl/>
        </w:rPr>
        <w:t xml:space="preserve"> </w:t>
      </w:r>
      <w:r w:rsidR="00D5437A">
        <w:rPr>
          <w:rFonts w:hint="cs"/>
          <w:sz w:val="24"/>
          <w:szCs w:val="24"/>
          <w:rtl/>
        </w:rPr>
        <w:t xml:space="preserve">בצבע </w:t>
      </w:r>
      <w:r w:rsidR="002C2BA8">
        <w:rPr>
          <w:rFonts w:hint="cs"/>
          <w:sz w:val="24"/>
          <w:szCs w:val="24"/>
          <w:rtl/>
        </w:rPr>
        <w:t xml:space="preserve">שמן </w:t>
      </w:r>
      <w:r w:rsidR="005F3DB6">
        <w:rPr>
          <w:rFonts w:hint="cs"/>
          <w:sz w:val="24"/>
          <w:szCs w:val="24"/>
          <w:rtl/>
        </w:rPr>
        <w:t>שמראה את כריתת</w:t>
      </w:r>
      <w:r>
        <w:rPr>
          <w:rFonts w:hint="cs"/>
          <w:sz w:val="24"/>
          <w:szCs w:val="24"/>
          <w:rtl/>
        </w:rPr>
        <w:t xml:space="preserve"> גן הדובדבנים, </w:t>
      </w:r>
      <w:r w:rsidR="005F3DB6">
        <w:rPr>
          <w:rFonts w:hint="cs"/>
          <w:sz w:val="24"/>
          <w:szCs w:val="24"/>
          <w:rtl/>
        </w:rPr>
        <w:t xml:space="preserve">את </w:t>
      </w:r>
      <w:proofErr w:type="spellStart"/>
      <w:r w:rsidR="005F3DB6">
        <w:rPr>
          <w:rFonts w:hint="cs"/>
          <w:sz w:val="24"/>
          <w:szCs w:val="24"/>
          <w:rtl/>
        </w:rPr>
        <w:t>לופטין</w:t>
      </w:r>
      <w:proofErr w:type="spellEnd"/>
      <w:r w:rsidR="005F3DB6">
        <w:rPr>
          <w:rFonts w:hint="cs"/>
          <w:sz w:val="24"/>
          <w:szCs w:val="24"/>
          <w:rtl/>
        </w:rPr>
        <w:t xml:space="preserve"> </w:t>
      </w:r>
      <w:r w:rsidR="00D5437A">
        <w:rPr>
          <w:rFonts w:hint="cs"/>
          <w:sz w:val="24"/>
          <w:szCs w:val="24"/>
          <w:rtl/>
        </w:rPr>
        <w:t>(דמות במחזה)</w:t>
      </w:r>
      <w:r w:rsidR="005F3DB6">
        <w:rPr>
          <w:rFonts w:hint="cs"/>
          <w:sz w:val="24"/>
          <w:szCs w:val="24"/>
          <w:rtl/>
        </w:rPr>
        <w:t xml:space="preserve">בפתח הדלת  עומד כבעל </w:t>
      </w:r>
      <w:r>
        <w:rPr>
          <w:rFonts w:hint="cs"/>
          <w:sz w:val="24"/>
          <w:szCs w:val="24"/>
          <w:rtl/>
        </w:rPr>
        <w:t>ה</w:t>
      </w:r>
      <w:r w:rsidR="005F3DB6">
        <w:rPr>
          <w:rFonts w:hint="cs"/>
          <w:sz w:val="24"/>
          <w:szCs w:val="24"/>
          <w:rtl/>
        </w:rPr>
        <w:t xml:space="preserve">בית </w:t>
      </w:r>
      <w:r w:rsidR="00D5437A">
        <w:rPr>
          <w:rFonts w:hint="cs"/>
          <w:sz w:val="24"/>
          <w:szCs w:val="24"/>
          <w:rtl/>
        </w:rPr>
        <w:t>ה</w:t>
      </w:r>
      <w:r w:rsidR="005F3DB6">
        <w:rPr>
          <w:rFonts w:hint="cs"/>
          <w:sz w:val="24"/>
          <w:szCs w:val="24"/>
          <w:rtl/>
        </w:rPr>
        <w:t>חדש של המקום</w:t>
      </w:r>
      <w:r w:rsidR="00D5437A">
        <w:rPr>
          <w:rFonts w:hint="cs"/>
          <w:sz w:val="24"/>
          <w:szCs w:val="24"/>
          <w:rtl/>
        </w:rPr>
        <w:t xml:space="preserve">. </w:t>
      </w:r>
      <w:r w:rsidR="005F3DB6">
        <w:rPr>
          <w:rFonts w:hint="cs"/>
          <w:sz w:val="24"/>
          <w:szCs w:val="24"/>
          <w:rtl/>
        </w:rPr>
        <w:t xml:space="preserve">מרכז התמונה מתמקד בהרס גן הדובדבנים </w:t>
      </w:r>
      <w:r>
        <w:rPr>
          <w:rFonts w:hint="cs"/>
          <w:sz w:val="24"/>
          <w:szCs w:val="24"/>
          <w:rtl/>
        </w:rPr>
        <w:t>.</w:t>
      </w:r>
    </w:p>
    <w:p w:rsidR="008A5CBA" w:rsidRPr="008A5CBA" w:rsidRDefault="00EA110B" w:rsidP="002C2BA8">
      <w:pPr>
        <w:rPr>
          <w:sz w:val="24"/>
          <w:szCs w:val="24"/>
        </w:rPr>
      </w:pPr>
      <w:bookmarkStart w:id="0" w:name="_GoBack"/>
      <w:bookmarkEnd w:id="0"/>
      <w:r>
        <w:rPr>
          <w:rFonts w:hint="cs"/>
          <w:sz w:val="24"/>
          <w:szCs w:val="24"/>
          <w:rtl/>
        </w:rPr>
        <w:t xml:space="preserve"> </w:t>
      </w:r>
      <w:r w:rsidR="005F3DB6">
        <w:rPr>
          <w:rFonts w:hint="cs"/>
          <w:sz w:val="24"/>
          <w:szCs w:val="24"/>
          <w:rtl/>
        </w:rPr>
        <w:t>לקחתי מתוך האומנות ציטוט, את התבנית של גרוש האדם מגן העדן, ש</w:t>
      </w:r>
      <w:r w:rsidR="005F3DB6">
        <w:rPr>
          <w:rFonts w:hint="eastAsia"/>
          <w:sz w:val="24"/>
          <w:szCs w:val="24"/>
          <w:rtl/>
        </w:rPr>
        <w:t>ל</w:t>
      </w:r>
      <w:r w:rsidR="005F3DB6">
        <w:rPr>
          <w:rFonts w:hint="cs"/>
          <w:sz w:val="24"/>
          <w:szCs w:val="24"/>
          <w:rtl/>
        </w:rPr>
        <w:t xml:space="preserve"> מיכאל </w:t>
      </w:r>
      <w:proofErr w:type="spellStart"/>
      <w:r w:rsidR="005F3DB6">
        <w:rPr>
          <w:rFonts w:hint="cs"/>
          <w:sz w:val="24"/>
          <w:szCs w:val="24"/>
          <w:rtl/>
        </w:rPr>
        <w:t>אנג'לו</w:t>
      </w:r>
      <w:proofErr w:type="spellEnd"/>
      <w:r w:rsidR="005F3DB6">
        <w:rPr>
          <w:rFonts w:hint="cs"/>
          <w:sz w:val="24"/>
          <w:szCs w:val="24"/>
          <w:rtl/>
        </w:rPr>
        <w:t xml:space="preserve"> </w:t>
      </w:r>
      <w:r w:rsidR="00747677">
        <w:rPr>
          <w:rFonts w:hint="cs"/>
          <w:sz w:val="24"/>
          <w:szCs w:val="24"/>
          <w:rtl/>
        </w:rPr>
        <w:t>.</w:t>
      </w:r>
      <w:r w:rsidR="005F3DB6">
        <w:rPr>
          <w:rFonts w:hint="cs"/>
          <w:sz w:val="24"/>
          <w:szCs w:val="24"/>
          <w:rtl/>
        </w:rPr>
        <w:t xml:space="preserve"> בצד הימני של הדיפטיכון, 2 הדמויות, אדם וחוה,  נעלמים מתוך הציור בהדרגה </w:t>
      </w:r>
      <w:r w:rsidR="00747677">
        <w:rPr>
          <w:rFonts w:hint="cs"/>
          <w:sz w:val="24"/>
          <w:szCs w:val="24"/>
          <w:rtl/>
        </w:rPr>
        <w:t>מחוצה לו . המשפחה שסימלה את האריסטוקרטיה הרוסית מגורשת</w:t>
      </w:r>
      <w:r w:rsidR="00747677" w:rsidRPr="00747677">
        <w:rPr>
          <w:rtl/>
        </w:rPr>
        <w:t xml:space="preserve"> </w:t>
      </w:r>
      <w:r w:rsidR="00747677" w:rsidRPr="00747677">
        <w:rPr>
          <w:rFonts w:cs="Arial"/>
          <w:sz w:val="24"/>
          <w:szCs w:val="24"/>
          <w:rtl/>
        </w:rPr>
        <w:t xml:space="preserve">ונעלמת </w:t>
      </w:r>
      <w:r w:rsidR="00747677" w:rsidRPr="00747677">
        <w:rPr>
          <w:rFonts w:cs="Arial" w:hint="cs"/>
          <w:sz w:val="24"/>
          <w:szCs w:val="24"/>
          <w:rtl/>
        </w:rPr>
        <w:t>מההיסטורי</w:t>
      </w:r>
      <w:r w:rsidR="00747677" w:rsidRPr="00747677">
        <w:rPr>
          <w:rFonts w:cs="Arial" w:hint="eastAsia"/>
          <w:sz w:val="24"/>
          <w:szCs w:val="24"/>
          <w:rtl/>
        </w:rPr>
        <w:t>ה</w:t>
      </w:r>
      <w:r>
        <w:rPr>
          <w:rFonts w:cs="Arial" w:hint="cs"/>
          <w:sz w:val="24"/>
          <w:szCs w:val="24"/>
          <w:rtl/>
        </w:rPr>
        <w:t xml:space="preserve"> </w:t>
      </w:r>
      <w:r w:rsidR="00747677">
        <w:rPr>
          <w:rFonts w:hint="cs"/>
          <w:sz w:val="24"/>
          <w:szCs w:val="24"/>
          <w:rtl/>
        </w:rPr>
        <w:t xml:space="preserve"> ע"י פועל באחוזה שצבר הון  ורכש את האחוזה. </w:t>
      </w:r>
    </w:p>
    <w:sectPr w:rsidR="008A5CBA" w:rsidRPr="008A5CBA" w:rsidSect="00FA7F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CBA"/>
    <w:rsid w:val="002C2BA8"/>
    <w:rsid w:val="00473CB0"/>
    <w:rsid w:val="00566F51"/>
    <w:rsid w:val="005F3DB6"/>
    <w:rsid w:val="00710573"/>
    <w:rsid w:val="00747677"/>
    <w:rsid w:val="008A5CBA"/>
    <w:rsid w:val="00D5437A"/>
    <w:rsid w:val="00DF7A7F"/>
    <w:rsid w:val="00EA110B"/>
    <w:rsid w:val="00F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E7E5D"/>
  <w15:chartTrackingRefBased/>
  <w15:docId w15:val="{9EE208D9-4395-4A84-B884-AA008A824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2026-04-20T07:06:00Z</dcterms:created>
  <dcterms:modified xsi:type="dcterms:W3CDTF">2026-04-20T07:06:00Z</dcterms:modified>
</cp:coreProperties>
</file>