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George,Elizabeth,Diego,Adin,Lauren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Questions for Shopatron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333333"/>
          <w:highlight w:val="white"/>
          <w:rtl w:val="0"/>
        </w:rPr>
        <w:t xml:space="preserve">Can you explain in greater detail what the External Fulfiller Location ID is?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333333"/>
          <w:highlight w:val="white"/>
          <w:rtl w:val="0"/>
        </w:rPr>
        <w:t xml:space="preserve">Do manufacturer's and their catalogs need to be in a separate database?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333333"/>
          <w:highlight w:val="white"/>
          <w:rtl w:val="0"/>
        </w:rPr>
        <w:t xml:space="preserve">What is an Inventory position that is mentioned in the interaction overview?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333333"/>
          <w:highlight w:val="white"/>
          <w:rtl w:val="0"/>
        </w:rPr>
        <w:t xml:space="preserve">Is the Fulfiller id internal to Shopatron? Or to the client?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333333"/>
          <w:highlight w:val="white"/>
          <w:rtl w:val="0"/>
        </w:rPr>
        <w:t xml:space="preserve">What is the purpose of a minimum on-hand stock?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to ask Shopatron.docx</dc:title>
</cp:coreProperties>
</file>