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ckpagga21a6o" w:colLast="0"/>
      <w:bookmarkEnd w:id="0"/>
      <w:r w:rsidRPr="00000000" w:rsidR="00000000" w:rsidDel="00000000">
        <w:rPr>
          <w:rtl w:val="0"/>
        </w:rPr>
        <w:t xml:space="preserve">Use Case Formalization</w:t>
      </w:r>
    </w:p>
    <w:p w:rsidP="00000000" w:rsidRPr="00000000" w:rsidR="00000000" w:rsidDel="00000000" w:rsidRDefault="00000000">
      <w:pPr>
        <w:pStyle w:val="Heading1"/>
      </w:pPr>
      <w:bookmarkStart w:id="1" w:colFirst="0" w:name="h.wogiy7trp5wc" w:colLast="0"/>
      <w:bookmarkEnd w:id="1"/>
      <w:r w:rsidRPr="00000000" w:rsidR="00000000" w:rsidDel="00000000">
        <w:rPr>
          <w:rtl w:val="0"/>
        </w:rPr>
        <w:t xml:space="preserve">Create Manufacturer Catalog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createManufacturerCatalog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ManufacturerID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CatalogID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FulfillerLocationID (uint)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Status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createManufacturerCatalogResponse (complx)</w:t>
      </w:r>
    </w:p>
    <w:p w:rsidP="00000000" w:rsidRPr="00000000" w:rsidR="00000000" w:rsidDel="00000000" w:rsidRDefault="00000000">
      <w:pPr>
        <w:pStyle w:val="Heading1"/>
      </w:pPr>
      <w:bookmarkStart w:id="2" w:colFirst="0" w:name="h.x4126psv3906" w:colLast="0"/>
      <w:bookmarkEnd w:id="2"/>
      <w:r w:rsidRPr="00000000" w:rsidR="00000000" w:rsidDel="00000000">
        <w:rPr>
          <w:rtl w:val="0"/>
        </w:rPr>
        <w:t xml:space="preserve">Define Fulfillers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createFulfiller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createFulfillerRequest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Name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ManufacturerID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RetailerID (unit)  (what is this?)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createFillerReturn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SQL: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pStyle w:val="Heading1"/>
      </w:pPr>
      <w:bookmarkStart w:id="3" w:colFirst="0" w:name="h.5dbn7r90zim9" w:colLast="0"/>
      <w:bookmarkEnd w:id="3"/>
      <w:r w:rsidRPr="00000000" w:rsidR="00000000" w:rsidDel="00000000">
        <w:rPr>
          <w:rtl w:val="0"/>
        </w:rPr>
        <w:t xml:space="preserve">Define Store Locations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createFulfillmentLocation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CreateFulfillmentLocationRequest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FullfillerID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ManufacturerLocationID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RetailerLocationID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ExternaLocationID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LocationName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TypeID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Latitude (double)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Longitude (double)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Status (int  - 1 or 2)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CountryCode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CreateFulfillmentLocationReturn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4" w:colFirst="0" w:name="h.dq9vjyl0mqhw" w:colLast="0"/>
      <w:bookmarkEnd w:id="4"/>
      <w:r w:rsidRPr="00000000" w:rsidR="00000000" w:rsidDel="00000000">
        <w:rPr>
          <w:rtl w:val="0"/>
        </w:rPr>
        <w:t xml:space="preserve">Define Store BIns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createBin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CreateBinRequest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BinID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FulfillerLocationID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BinTypeID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BinStatusID (uint)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Name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CreateBinResponse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CreateBinReturn (uint)</w:t>
      </w:r>
    </w:p>
    <w:p w:rsidP="00000000" w:rsidRPr="00000000" w:rsidR="00000000" w:rsidDel="00000000" w:rsidRDefault="00000000">
      <w:pPr>
        <w:pStyle w:val="Heading1"/>
      </w:pPr>
      <w:bookmarkStart w:id="5" w:colFirst="0" w:name="h.rmn1nhvp5k49" w:colLast="0"/>
      <w:bookmarkEnd w:id="5"/>
      <w:r w:rsidRPr="00000000" w:rsidR="00000000" w:rsidDel="00000000">
        <w:rPr>
          <w:rtl w:val="0"/>
        </w:rPr>
        <w:t xml:space="preserve">Bulk Inventory Update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adjustInventory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AdjustInventorySoapIn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LocationName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Items (array AdjustItems)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items (AdjustItem)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PartNumber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UPC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LocationUPC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BinID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Quantity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AdjustInevntorySoapOut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AdjustResponse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64fhgtbip4o9" w:colLast="0"/>
      <w:bookmarkEnd w:id="6"/>
      <w:r w:rsidRPr="00000000" w:rsidR="00000000" w:rsidDel="00000000">
        <w:rPr>
          <w:rtl w:val="0"/>
        </w:rPr>
        <w:t xml:space="preserve">Trickle Inventory Update</w:t>
      </w:r>
    </w:p>
    <w:p w:rsidP="00000000" w:rsidRPr="00000000" w:rsidR="00000000" w:rsidDel="00000000" w:rsidRDefault="00000000">
      <w:pPr/>
      <w:r w:rsidRPr="00000000" w:rsidR="00000000" w:rsidDel="00000000">
        <w:rPr>
          <w:highlight w:val="white"/>
          <w:rtl w:val="0"/>
        </w:rPr>
        <w:t xml:space="preserve">RefreshInventory: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RefreshInventorySoapIn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LocationName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 xml:space="preserve">Items (array RefreshItem)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 xml:space="preserve">items (AdjustItem)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PartNumber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UPC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LocationUPC (string)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BinID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Quantity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LTD (double)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Floor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ab/>
        <w:tab/>
        <w:tab/>
        <w:t xml:space="preserve">SafetyStock (int)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RefreshResponse (string)</w:t>
      </w:r>
    </w:p>
    <w:p w:rsidP="00000000" w:rsidRPr="00000000" w:rsidR="00000000" w:rsidDel="00000000" w:rsidRDefault="00000000">
      <w:pPr>
        <w:pStyle w:val="Heading1"/>
      </w:pPr>
      <w:bookmarkStart w:id="7" w:colFirst="0" w:name="h.bjm7agel1lwe" w:colLast="0"/>
      <w:bookmarkEnd w:id="7"/>
      <w:r w:rsidRPr="00000000" w:rsidR="00000000" w:rsidDel="00000000">
        <w:rPr>
          <w:rtl w:val="0"/>
        </w:rPr>
        <w:t xml:space="preserve">Get Inventory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color w:val="00008b"/>
          <w:highlight w:val="white"/>
          <w:rtl w:val="0"/>
        </w:rPr>
        <w:t xml:space="preserve">getInventory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InventoryRequest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Catalog - nillable; type ManufacturerCatalog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ManufacturerID type positiveInteger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CatalogID type positiveInteger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Quantities - nillable; type ArrayOf_impl_ItemQuantity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items - unbounded; type ItemQuantity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PartNumber - nillable; type string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UPC - nillable; type string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LocationUPC - nillable; type string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Quantity type int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LocationNames - nillable; type ArrayOfLocationNames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LocationNames - optional, unbounded; type string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Location - nillable; type RequestLocation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Unit - nillable; type string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Radius - nillable; type positiveInteger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PostalCode - nillable; type string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Latitude - nillable; type double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Longitude - nillable; type double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CountryCode - nillable; type string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Type - nillable; type InventoryRequestType - type string with restriction - enum { 'ALL', 'PARTIAL', 'ANY', 'ALL_STORES' }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Limit type int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IgnoreSafetyStock - nillable; type boolean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IncludeNegativeInventory - nillable; type boolean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OrderByLTD type boolean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getInventoryReturn - unbounded; type InventoryResponse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LocationName - nillable; type string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CatalogID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ManufacturerID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OnHand - nillable;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Available - nillable;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PartNumber - nillable; type string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UPC - nillable; type string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LocationUPC - nillable; type string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LTD - nillable; type double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Floor - nillable;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SafetyStock - nillable; type int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STHEnabled - nillable; type boolean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RestockEnabled - nillable; type boolean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PickupEnabled - nillable; type boolean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CountryCode - nillable; type string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Distance - nillable; type double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8" w:colFirst="0" w:name="h.wjcu3imbl82c" w:colLast="0"/>
      <w:bookmarkEnd w:id="8"/>
      <w:r w:rsidRPr="00000000" w:rsidR="00000000" w:rsidDel="00000000">
        <w:rPr>
          <w:rtl w:val="0"/>
        </w:rPr>
        <w:t xml:space="preserve">Allocate Inventory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color w:val="00008b"/>
          <w:highlight w:val="white"/>
          <w:rtl w:val="0"/>
        </w:rPr>
        <w:t xml:space="preserve">allocateInventory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Input: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request type UpdateRequest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FulfillerLocationCatalog type FulfillmentLocationCatalog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ManufacturerCatalog - nillable; type ManufacturerCatalog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ManufacturerID type positiveInteger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CatalogID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FulfillerLocationID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ManufacturerLocation - nillable; type ManufacturerLocation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ManufacturerID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ManufacturerLocationID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RetailerLocation - nillable; type RetailerLocation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RetailerID type positiveInteger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RetailerLocationID type positiveInteger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Items type ArrayOf_impl_UpdateItem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items - optional, unbounded; type UpdateItem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PartNumber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UPC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LocationUPC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Quantity type int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OrderID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OrderItemID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ShipmentID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FulfillerLocationID - nillable; type positiveInteger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ab/>
        <w:t xml:space="preserve">AllocateInventoryResponse (?)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9" w:colFirst="0" w:name="h.jdxh748c3lzm" w:colLast="0"/>
      <w:bookmarkEnd w:id="9"/>
      <w:r w:rsidRPr="00000000" w:rsidR="00000000" w:rsidDel="00000000">
        <w:rPr>
          <w:rtl w:val="0"/>
        </w:rPr>
        <w:t xml:space="preserve">De-allocate Inventory</w:t>
      </w:r>
    </w:p>
    <w:p w:rsidP="00000000" w:rsidRPr="00000000" w:rsidR="00000000" w:rsidDel="00000000" w:rsidRDefault="00000000">
      <w:pPr/>
      <w:r w:rsidRPr="00000000" w:rsidR="00000000" w:rsidDel="00000000">
        <w:rPr>
          <w:rFonts w:cs="Arial" w:hAnsi="Arial" w:eastAsia="Arial" w:ascii="Arial"/>
          <w:i w:val="1"/>
          <w:color w:val="00008b"/>
          <w:highlight w:val="white"/>
          <w:rtl w:val="0"/>
        </w:rPr>
        <w:t xml:space="preserve">deallocateInventory</w:t>
      </w:r>
      <w:r w:rsidRPr="00000000" w:rsidR="00000000" w:rsidDel="00000000">
        <w:rPr>
          <w:color w:val="1155cc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request type UpdateRequest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FulfillerLocationCatalog type FulfillmentLocationCatalog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ManufacturerCatalog - nillable; type ManufacturerCatalog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ManufacturerID type positiveInteger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CatalogID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FulfillerLocationID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ManufacturerLocation - nillable; type ManufacturerLocation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ManufacturerID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ManufacturerLocationID type positiveInteger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RetailerLocation - nillable; type RetailerLocation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RetailerID type positiveInteger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RetailerLocationID type positiveInteger</w:t>
      </w:r>
    </w:p>
    <w:p w:rsidP="00000000" w:rsidRPr="00000000" w:rsidR="00000000" w:rsidDel="00000000" w:rsidRDefault="00000000">
      <w:pPr>
        <w:ind w:left="2160" w:firstLine="0"/>
      </w:pPr>
      <w:r w:rsidRPr="00000000" w:rsidR="00000000" w:rsidDel="00000000">
        <w:rPr>
          <w:rtl w:val="0"/>
        </w:rPr>
        <w:t xml:space="preserve">Items type ArrayOf_impl_UpdateItem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items - optional, unbounded; type UpdateItem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PartNumber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UPC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LocationUPC - nillable; type string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Quantity type int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OrderID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OrderItemID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ShipmentID type positiveInteger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FulfillerLocationID - nillable; type positiveInteger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ab/>
        <w:t xml:space="preserve">(DeallocateInventoryResponse)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Cases.docx</dc:title>
</cp:coreProperties>
</file>