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Procès-verbal de la réunion de cabinet du 30 août 2026</w:t>
      </w:r>
    </w:p>
    <w:p>
      <w:r>
        <w:t xml:space="preserve">Présents : Hélène Marchetti, Dr Paul Martin, Sandrine Colas.</w:t>
      </w:r>
    </w:p>
    <w:p>
      <w:r>
        <w:t xml:space="preserve">Rédacteur : Sandrine Colas.</w:t>
      </w:r>
    </w:p>
    <w:p>
      <w:r>
        <w:t xml:space="preserve">1. Matériel — le devis de Papeterie du Lac SARL est accepté pour un montant de 690,63 €.</w:t>
      </w:r>
    </w:p>
    <w:p>
      <w:r>
        <w:t xml:space="preserve">2. Planning — les permanences de juillet sont réparties entre Dr Paul Martin et Dr Hélène Marchetti.</w:t>
      </w:r>
    </w:p>
    <w:p>
      <w:r>
        <w:t xml:space="preserve">3. Hygiène — la procédure de nettoyage des salles d'examen est rappelée et affichée.</w:t>
      </w:r>
    </w:p>
    <w:p>
      <w:r>
        <w:t xml:space="preserve">La prochaine réunion aura lieu le 29 octobre 2026.</w:t>
      </w:r>
    </w:p>
  </w:body>
</w:document>
</file>