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Résultats d'analyses du 26 juin 2026</w:t>
      </w:r>
    </w:p>
    <w:p>
      <w:r>
        <w:t xml:space="preserve">Unilabs Genève</w:t>
      </w:r>
    </w:p>
    <w:p>
      <w:r>
        <w:t xml:space="preserve">Dossier n° 43460</w:t>
      </w:r>
    </w:p>
    <w:p>
      <w:r>
        <w:t xml:space="preserve">Patient : CRETTENAND Grégoire</w:t>
      </w:r>
    </w:p>
    <w:p>
      <w:r>
        <w:t xml:space="preserve">Prescripteur : Dr Damien Pillet</w:t>
      </w:r>
    </w:p>
    <w:p>
      <w:r>
        <w:t xml:space="preserve">N° AVS : 756.3358.6319.73</w:t>
      </w:r>
    </w:p>
    <w:p>
      <w:r>
        <w:t xml:space="preserve">Hémoglobine glyquée : 5,5 %</w:t>
      </w:r>
    </w:p>
    <w:p>
      <w:r>
        <w:t xml:space="preserve">Créatinine : 99 µmol/L</w:t>
      </w:r>
    </w:p>
    <w:p>
      <w:r>
        <w:t xml:space="preserve">Cholestérol total : 4,3 mmol/L</w:t>
      </w:r>
    </w:p>
    <w:p>
      <w:r>
        <w:t xml:space="preserve">Glycémie à jeun : 5,6 mmol/L</w:t>
      </w:r>
    </w:p>
    <w:p>
      <w:r>
        <w:t xml:space="preserve">Examen cytobactériologique des urines : culture positive à Escherichia coli (&gt; 10^5 UFC/mL). Antibiogramme joint.</w:t>
      </w:r>
    </w:p>
    <w:p>
      <w:r>
        <w:t xml:space="preserve">Résultats validés le 26 juin 2026 par le laboratoire. Copie à M. Crettenand.</w:t>
      </w:r>
    </w:p>
  </w:body>
</w:document>
</file>