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Résultats d'analyses du 23 août 2026</w:t>
      </w:r>
    </w:p>
    <w:p>
      <w:r>
        <w:t xml:space="preserve">Unilabs Genève</w:t>
      </w:r>
    </w:p>
    <w:p>
      <w:r>
        <w:t xml:space="preserve">Dossier n° 77913</w:t>
      </w:r>
    </w:p>
    <w:p>
      <w:r>
        <w:t xml:space="preserve">Patient : LINDQVIST Åsa</w:t>
      </w:r>
    </w:p>
    <w:p>
      <w:r>
        <w:t xml:space="preserve">Prescripteur : Dr Benoît Meylan</w:t>
      </w:r>
    </w:p>
    <w:p>
      <w:r>
        <w:t xml:space="preserve">N° AVS : 756.5968.2573.07</w:t>
      </w:r>
    </w:p>
    <w:p>
      <w:r>
        <w:t xml:space="preserve">Hémoglobine glyquée : 6,9 %</w:t>
      </w:r>
    </w:p>
    <w:p>
      <w:r>
        <w:t xml:space="preserve">Créatinine : 96 µmol/L</w:t>
      </w:r>
    </w:p>
    <w:p>
      <w:r>
        <w:t xml:space="preserve">Cholestérol total : 5,6 mmol/L</w:t>
      </w:r>
    </w:p>
    <w:p>
      <w:r>
        <w:t xml:space="preserve">Glycémie à jeun : 4,5 mmol/L</w:t>
      </w:r>
    </w:p>
    <w:p>
      <w:r>
        <w:t xml:space="preserve">Examen cytobactériologique des urines : culture positive à Staphylococcus aureus (&gt; 10^5 UFC/mL). Antibiogramme joint.</w:t>
      </w:r>
    </w:p>
    <w:p>
      <w:r>
        <w:t xml:space="preserve">Résultats validés le 23 août 2026 par le laboratoire. Copie à Mme Lindqvist.</w:t>
      </w:r>
    </w:p>
  </w:body>
</w:document>
</file>