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val="0"/>
          <w:color w:val="475569"/>
          <w:sz w:val="18"/>
        </w:rPr>
        <w:t>UNIVERSITY EXAMINATION BOARD</w:t>
      </w:r>
    </w:p>
    <w:p>
      <w:pPr>
        <w:spacing w:after="80"/>
        <w:jc w:val="center"/>
      </w:pPr>
      <w:r>
        <w:rPr>
          <w:rFonts w:ascii="Calibri" w:hAnsi="Calibri"/>
          <w:b/>
          <w:color w:val="0F172A"/>
          <w:sz w:val="36"/>
        </w:rPr>
        <w:t>CALCULUS AND DIFFERENTIAL EQUATIONS</w:t>
      </w:r>
    </w:p>
    <w:p>
      <w:pPr>
        <w:spacing w:after="160"/>
        <w:jc w:val="center"/>
      </w:pPr>
      <w:r>
        <w:rPr>
          <w:rFonts w:ascii="Calibri" w:hAnsi="Calibri"/>
          <w:color w:val="475569"/>
          <w:sz w:val="19"/>
        </w:rPr>
        <w:t>Year: 2026   |   Maximum Marks: 75   |   Total Questions: 3   |   Time: 3 Hours</w:t>
      </w:r>
    </w:p>
    <w:p>
      <w:pPr>
        <w:pBdr>
          <w:bottom w:val="single" w:sz="6" w:space="1" w:color="0f172a"/>
        </w:pBdr>
        <w:spacing w:before="0" w:after="0"/>
      </w:pPr>
    </w:p>
    <w:p>
      <w:pPr>
        <w:spacing w:after="40"/>
      </w:pPr>
    </w:p>
    <w:p>
      <w:pPr>
        <w:spacing w:after="200"/>
      </w:pPr>
      <w:r>
        <w:rPr>
          <w:rFonts w:ascii="Calibri" w:hAnsi="Calibri"/>
          <w:b/>
          <w:color w:val="0F172A"/>
          <w:sz w:val="20"/>
        </w:rPr>
        <w:t xml:space="preserve">GENERAL INSTRUCTIONS:  </w:t>
      </w:r>
      <w:r>
        <w:rPr>
          <w:rFonts w:ascii="Calibri" w:hAnsi="Calibri"/>
          <w:i/>
          <w:color w:val="475569"/>
          <w:sz w:val="19"/>
        </w:rPr>
        <w:t>Answer all questions. Show all working, derivations and calculations. Draw and label diagrams wherever required. Use of scientific calculator is permitted.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28"/>
            <w:shd w:val="clear" w:color="auto" w:fill="0f172a"/>
          </w:tcPr>
          <w:p>
            <w:pPr>
              <w:jc w:val="center"/>
            </w:pPr>
            <w:r>
              <w:rPr>
                <w:rFonts w:ascii="Calibri" w:hAnsi="Calibri"/>
                <w:b/>
                <w:color w:val="FFFFFF"/>
                <w:sz w:val="18"/>
              </w:rPr>
              <w:t>Q.No</w:t>
            </w:r>
          </w:p>
        </w:tc>
        <w:tc>
          <w:tcPr>
            <w:tcW w:type="dxa" w:w="1928"/>
            <w:shd w:val="clear" w:color="auto" w:fill="0f172a"/>
          </w:tcPr>
          <w:p>
            <w:pPr>
              <w:jc w:val="center"/>
            </w:pPr>
            <w:r>
              <w:rPr>
                <w:rFonts w:ascii="Calibri" w:hAnsi="Calibri"/>
                <w:b/>
                <w:color w:val="FFFFFF"/>
                <w:sz w:val="18"/>
              </w:rPr>
              <w:t>1</w:t>
            </w:r>
          </w:p>
        </w:tc>
        <w:tc>
          <w:tcPr>
            <w:tcW w:type="dxa" w:w="1928"/>
            <w:shd w:val="clear" w:color="auto" w:fill="0f172a"/>
          </w:tcPr>
          <w:p>
            <w:pPr>
              <w:jc w:val="center"/>
            </w:pPr>
            <w:r>
              <w:rPr>
                <w:rFonts w:ascii="Calibri" w:hAnsi="Calibri"/>
                <w:b/>
                <w:color w:val="FFFFFF"/>
                <w:sz w:val="18"/>
              </w:rPr>
              <w:t>2</w:t>
            </w:r>
          </w:p>
        </w:tc>
        <w:tc>
          <w:tcPr>
            <w:tcW w:type="dxa" w:w="1928"/>
            <w:shd w:val="clear" w:color="auto" w:fill="0f172a"/>
          </w:tcPr>
          <w:p>
            <w:pPr>
              <w:jc w:val="center"/>
            </w:pPr>
            <w:r>
              <w:rPr>
                <w:rFonts w:ascii="Calibri" w:hAnsi="Calibri"/>
                <w:b/>
                <w:color w:val="FFFFFF"/>
                <w:sz w:val="18"/>
              </w:rPr>
              <w:t>3</w:t>
            </w:r>
          </w:p>
        </w:tc>
        <w:tc>
          <w:tcPr>
            <w:tcW w:type="dxa" w:w="1928"/>
            <w:shd w:val="clear" w:color="auto" w:fill="0f172a"/>
          </w:tcPr>
          <w:p>
            <w:pPr>
              <w:jc w:val="center"/>
            </w:pPr>
            <w:r>
              <w:rPr>
                <w:rFonts w:ascii="Calibri" w:hAnsi="Calibri"/>
                <w:b/>
                <w:color w:val="FFFFFF"/>
                <w:sz w:val="18"/>
              </w:rPr>
              <w:t>Total</w:t>
            </w:r>
          </w:p>
        </w:tc>
      </w:tr>
      <w:tr>
        <w:tc>
          <w:tcPr>
            <w:tcW w:type="dxa" w:w="1928"/>
            <w:shd w:val="clear" w:color="auto" w:fill="f1f5f9"/>
          </w:tcPr>
          <w:p>
            <w:pPr>
              <w:jc w:val="center"/>
            </w:pPr>
            <w:r>
              <w:rPr>
                <w:rFonts w:ascii="Calibri" w:hAnsi="Calibri"/>
                <w:b/>
                <w:color w:val="0F172A"/>
                <w:sz w:val="18"/>
              </w:rPr>
              <w:t>Marks</w:t>
            </w:r>
          </w:p>
        </w:tc>
        <w:tc>
          <w:tcPr>
            <w:tcW w:type="dxa" w:w="1928"/>
            <w:shd w:val="clear" w:color="auto" w:fill="ffffff"/>
          </w:tcPr>
          <w:p>
            <w:pPr>
              <w:jc w:val="center"/>
            </w:pPr>
            <w:r>
              <w:rPr>
                <w:rFonts w:ascii="Calibri" w:hAnsi="Calibri"/>
                <w:color w:val="0F172A"/>
                <w:sz w:val="18"/>
              </w:rPr>
              <w:t>25</w:t>
            </w:r>
          </w:p>
        </w:tc>
        <w:tc>
          <w:tcPr>
            <w:tcW w:type="dxa" w:w="1928"/>
            <w:shd w:val="clear" w:color="auto" w:fill="f1f5f9"/>
          </w:tcPr>
          <w:p>
            <w:pPr>
              <w:jc w:val="center"/>
            </w:pPr>
            <w:r>
              <w:rPr>
                <w:rFonts w:ascii="Calibri" w:hAnsi="Calibri"/>
                <w:color w:val="0F172A"/>
                <w:sz w:val="18"/>
              </w:rPr>
              <w:t>25</w:t>
            </w:r>
          </w:p>
        </w:tc>
        <w:tc>
          <w:tcPr>
            <w:tcW w:type="dxa" w:w="1928"/>
            <w:shd w:val="clear" w:color="auto" w:fill="ffffff"/>
          </w:tcPr>
          <w:p>
            <w:pPr>
              <w:jc w:val="center"/>
            </w:pPr>
            <w:r>
              <w:rPr>
                <w:rFonts w:ascii="Calibri" w:hAnsi="Calibri"/>
                <w:color w:val="0F172A"/>
                <w:sz w:val="18"/>
              </w:rPr>
              <w:t>25</w:t>
            </w:r>
          </w:p>
        </w:tc>
        <w:tc>
          <w:tcPr>
            <w:tcW w:type="dxa" w:w="1928"/>
            <w:shd w:val="clear" w:color="auto" w:fill="dbeafe"/>
          </w:tcPr>
          <w:p>
            <w:pPr>
              <w:jc w:val="center"/>
            </w:pPr>
            <w:r>
              <w:rPr>
                <w:rFonts w:ascii="Calibri" w:hAnsi="Calibri"/>
                <w:b/>
                <w:color w:val="1E40AF"/>
                <w:sz w:val="18"/>
              </w:rPr>
              <w:t>75</w:t>
            </w:r>
          </w:p>
        </w:tc>
      </w:tr>
    </w:tbl>
    <w:p>
      <w:pPr>
        <w:spacing w:after="120"/>
      </w:pPr>
    </w:p>
    <w:tbl>
      <w:tblPr>
        <w:tblStyle w:val="TableGrid"/>
        <w:tblW w:type="auto" w:w="0"/>
        <w:jc w:val="left"/>
        <w:tblLook w:firstColumn="1" w:firstRow="1" w:lastColumn="0" w:lastRow="0" w:noHBand="0" w:noVBand="1" w:val="04A0"/>
      </w:tblPr>
      <w:tblGrid>
        <w:gridCol w:w="4824"/>
        <w:gridCol w:w="4824"/>
      </w:tblGrid>
      <w:tr>
        <w:tc>
          <w:tcPr>
            <w:tcW w:type="dxa" w:w="7087"/>
            <w:shd w:val="clear" w:color="auto" w:fill="eff6ff"/>
            <w:tcBorders>
              <w:bottom w:val="single" w:sz="4" w:space="0" w:color="bfdbfe"/>
            </w:tcBorders>
          </w:tcPr>
          <w:p>
            <w:pPr>
              <w:spacing w:before="0" w:after="0"/>
              <w:jc w:val="left"/>
            </w:pPr>
            <w:r/>
            <w:r>
              <w:rPr>
                <w:rFonts w:ascii="Calibri" w:hAnsi="Calibri"/>
                <w:b/>
                <w:color w:val="1E40AF"/>
                <w:sz w:val="22"/>
              </w:rPr>
              <w:t>Question 1</w:t>
            </w:r>
          </w:p>
        </w:tc>
        <w:tc>
          <w:tcPr>
            <w:tcW w:type="dxa" w:w="2438"/>
            <w:shd w:val="clear" w:color="auto" w:fill="eff6ff"/>
            <w:tcBorders>
              <w:bottom w:val="single" w:sz="4" w:space="0" w:color="bfdbfe"/>
            </w:tcBorders>
          </w:tcPr>
          <w:p>
            <w:pPr>
              <w:spacing w:before="0" w:after="0"/>
              <w:jc w:val="right"/>
            </w:pPr>
            <w:r/>
            <w:r>
              <w:rPr>
                <w:rFonts w:ascii="Calibri" w:hAnsi="Calibri"/>
                <w:b/>
                <w:color w:val="0284C7"/>
                <w:sz w:val="20"/>
              </w:rPr>
              <w:t>[25 Marks]</w:t>
            </w:r>
          </w:p>
        </w:tc>
      </w:tr>
    </w:tbl>
    <w:p>
      <w:pPr>
        <w:spacing w:before="100" w:after="80"/>
        <w:ind w:left="216"/>
      </w:pPr>
      <w:r>
        <w:rPr>
          <w:rFonts w:ascii="Calibri" w:hAnsi="Calibri"/>
          <w:color w:val="1E293B"/>
          <w:sz w:val="22"/>
        </w:rPr>
        <w:t>Let f(x,y) = x^2 sin(y) + y^2 cos(x). \\ (a) Compute the gradient ∇ f(x,y). \\ (b) Evaluate the gradient at the point P((π / 4),(π / 3)). \\ (c) Find the directional derivative of f at P in the direction of the vector v = (2,1). \\ (d) Hence, determine the unit vector in the direction of maximum increase of f at P and the maximum rate of change.</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pBdr>
          <w:bottom w:val="single" w:sz="6" w:space="1" w:color="e2e8f0"/>
        </w:pBdr>
        <w:spacing w:before="0" w:after="0"/>
      </w:pPr>
    </w:p>
    <w:p>
      <w:pPr>
        <w:spacing w:after="160"/>
      </w:pPr>
    </w:p>
    <w:tbl>
      <w:tblPr>
        <w:tblStyle w:val="TableGrid"/>
        <w:tblW w:type="auto" w:w="0"/>
        <w:jc w:val="left"/>
        <w:tblLook w:firstColumn="1" w:firstRow="1" w:lastColumn="0" w:lastRow="0" w:noHBand="0" w:noVBand="1" w:val="04A0"/>
      </w:tblPr>
      <w:tblGrid>
        <w:gridCol w:w="4824"/>
        <w:gridCol w:w="4824"/>
      </w:tblGrid>
      <w:tr>
        <w:tc>
          <w:tcPr>
            <w:tcW w:type="dxa" w:w="7087"/>
            <w:shd w:val="clear" w:color="auto" w:fill="eff6ff"/>
            <w:tcBorders>
              <w:bottom w:val="single" w:sz="4" w:space="0" w:color="bfdbfe"/>
            </w:tcBorders>
          </w:tcPr>
          <w:p>
            <w:pPr>
              <w:spacing w:before="0" w:after="0"/>
              <w:jc w:val="left"/>
            </w:pPr>
            <w:r/>
            <w:r>
              <w:rPr>
                <w:rFonts w:ascii="Calibri" w:hAnsi="Calibri"/>
                <w:b/>
                <w:color w:val="1E40AF"/>
                <w:sz w:val="22"/>
              </w:rPr>
              <w:t>Question 2</w:t>
            </w:r>
          </w:p>
        </w:tc>
        <w:tc>
          <w:tcPr>
            <w:tcW w:type="dxa" w:w="2438"/>
            <w:shd w:val="clear" w:color="auto" w:fill="eff6ff"/>
            <w:tcBorders>
              <w:bottom w:val="single" w:sz="4" w:space="0" w:color="bfdbfe"/>
            </w:tcBorders>
          </w:tcPr>
          <w:p>
            <w:pPr>
              <w:spacing w:before="0" w:after="0"/>
              <w:jc w:val="right"/>
            </w:pPr>
            <w:r/>
            <w:r>
              <w:rPr>
                <w:rFonts w:ascii="Calibri" w:hAnsi="Calibri"/>
                <w:b/>
                <w:color w:val="0284C7"/>
                <w:sz w:val="20"/>
              </w:rPr>
              <w:t>[25 Marks]</w:t>
            </w:r>
          </w:p>
        </w:tc>
      </w:tr>
    </w:tbl>
    <w:p>
      <w:pPr>
        <w:spacing w:before="100" w:after="80"/>
        <w:ind w:left="216"/>
      </w:pPr>
      <w:r>
        <w:rPr>
          <w:rFonts w:ascii="Calibri" w:hAnsi="Calibri"/>
          <w:color w:val="1E293B"/>
          <w:sz w:val="22"/>
        </w:rPr>
        <w:t>Solve the first-order linear differential equation \\  (dy / dx) + y tan x = sin(2x),  y(0)=1.  \\ (a) Find the integrating factor. \\ (b) Obtain the general solution. \\ (c) Apply the initial condition to determine the particular solution. \\ (d) Sketch the solution curve on the interval [0,π/2).</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pBdr>
          <w:bottom w:val="single" w:sz="6" w:space="1" w:color="e2e8f0"/>
        </w:pBdr>
        <w:spacing w:before="0" w:after="0"/>
      </w:pPr>
    </w:p>
    <w:p>
      <w:pPr>
        <w:spacing w:after="160"/>
      </w:pPr>
    </w:p>
    <w:tbl>
      <w:tblPr>
        <w:tblStyle w:val="TableGrid"/>
        <w:tblW w:type="auto" w:w="0"/>
        <w:jc w:val="left"/>
        <w:tblLook w:firstColumn="1" w:firstRow="1" w:lastColumn="0" w:lastRow="0" w:noHBand="0" w:noVBand="1" w:val="04A0"/>
      </w:tblPr>
      <w:tblGrid>
        <w:gridCol w:w="4824"/>
        <w:gridCol w:w="4824"/>
      </w:tblGrid>
      <w:tr>
        <w:tc>
          <w:tcPr>
            <w:tcW w:type="dxa" w:w="7087"/>
            <w:shd w:val="clear" w:color="auto" w:fill="eff6ff"/>
            <w:tcBorders>
              <w:bottom w:val="single" w:sz="4" w:space="0" w:color="bfdbfe"/>
            </w:tcBorders>
          </w:tcPr>
          <w:p>
            <w:pPr>
              <w:spacing w:before="0" w:after="0"/>
              <w:jc w:val="left"/>
            </w:pPr>
            <w:r/>
            <w:r>
              <w:rPr>
                <w:rFonts w:ascii="Calibri" w:hAnsi="Calibri"/>
                <w:b/>
                <w:color w:val="1E40AF"/>
                <w:sz w:val="22"/>
              </w:rPr>
              <w:t>Question 3</w:t>
            </w:r>
          </w:p>
        </w:tc>
        <w:tc>
          <w:tcPr>
            <w:tcW w:type="dxa" w:w="2438"/>
            <w:shd w:val="clear" w:color="auto" w:fill="eff6ff"/>
            <w:tcBorders>
              <w:bottom w:val="single" w:sz="4" w:space="0" w:color="bfdbfe"/>
            </w:tcBorders>
          </w:tcPr>
          <w:p>
            <w:pPr>
              <w:spacing w:before="0" w:after="0"/>
              <w:jc w:val="right"/>
            </w:pPr>
            <w:r/>
            <w:r>
              <w:rPr>
                <w:rFonts w:ascii="Calibri" w:hAnsi="Calibri"/>
                <w:b/>
                <w:color w:val="0284C7"/>
                <w:sz w:val="20"/>
              </w:rPr>
              <w:t>[25 Marks]</w:t>
            </w:r>
          </w:p>
        </w:tc>
      </w:tr>
    </w:tbl>
    <w:p>
      <w:pPr>
        <w:spacing w:before="100" w:after="80"/>
        <w:ind w:left="216"/>
      </w:pPr>
      <w:r>
        <w:rPr>
          <w:rFonts w:ascii="Calibri" w:hAnsi="Calibri"/>
          <w:color w:val="1E293B"/>
          <w:sz w:val="22"/>
        </w:rPr>
        <w:t>Consider the second‑order homogeneous differential equation \\  y'' + 4y' + 13y = 0,  y(0)=2,\\ y'(0)=0.  \\ (a) Write the characteristic equation and find its roots. \\ (b) Write the general solution in terms of real functions. \\ (c) Apply the initial conditions to obtain the unique solution. \\ (d) Describe the behaviour of the solution as t→∞ and sketch the graph for t∈[0,5].</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pBdr>
          <w:bottom w:val="single" w:sz="6" w:space="1" w:color="e2e8f0"/>
        </w:pBdr>
        <w:spacing w:before="0" w:after="0"/>
      </w:pPr>
    </w:p>
    <w:p>
      <w:pPr>
        <w:spacing w:after="160"/>
      </w:pP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