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0"/>
      </w:pPr>
      <w:r>
        <w:rPr>
          <w:rFonts w:ascii="Arial" w:cs="Arial" w:eastAsia="Arial" w:hAnsi="Arial"/>
          <w:b/>
          <w:bCs/>
          <w:color w:val="2D2D2D"/>
          <w:sz w:val="48"/>
          <w:szCs w:val="48"/>
        </w:rPr>
        <w:t xml:space="preserve">ARB Intake System</w:t>
      </w:r>
    </w:p>
    <w:p>
      <w:pPr>
        <w:pBdr>
          <w:bottom w:val="single" w:color="C8102E" w:sz="12" w:space="6"/>
        </w:pBdr>
        <w:spacing w:after="40" w:before="0"/>
      </w:pPr>
      <w:r>
        <w:rPr>
          <w:rFonts w:ascii="Arial" w:cs="Arial" w:eastAsia="Arial" w:hAnsi="Arial"/>
          <w:color w:val="C8102E"/>
          <w:sz w:val="36"/>
          <w:szCs w:val="36"/>
        </w:rPr>
        <w:t xml:space="preserve">AWS Production Architecture</w:t>
      </w:r>
    </w:p>
    <w:p>
      <w:pPr>
        <w:spacing w:after="100" w:before="0"/>
      </w:pPr>
      <w:r>
        <w:t xml:space="preserve"/>
      </w:r>
    </w:p>
    <w:p>
      <w:pPr>
        <w:spacing w:after="80" w:before="0"/>
      </w:pPr>
      <w:r>
        <w:rPr>
          <w:rFonts w:ascii="Arial" w:cs="Arial" w:eastAsia="Arial" w:hAnsi="Arial"/>
          <w:color w:val="5A5A5A"/>
          <w:sz w:val="20"/>
          <w:szCs w:val="20"/>
        </w:rPr>
        <w:t xml:space="preserve">Prepared by:  </w:t>
      </w:r>
      <w:r>
        <w:rPr>
          <w:rFonts w:ascii="Arial" w:cs="Arial" w:eastAsia="Arial" w:hAnsi="Arial"/>
          <w:b/>
          <w:bCs/>
          <w:color w:val="2D2D2D"/>
          <w:sz w:val="20"/>
          <w:szCs w:val="20"/>
        </w:rPr>
        <w:t xml:space="preserve">Enterprise Architecture Practice</w:t>
      </w:r>
      <w:r>
        <w:rPr>
          <w:rFonts w:ascii="Arial" w:cs="Arial" w:eastAsia="Arial" w:hAnsi="Arial"/>
          <w:color w:val="DCDCDC"/>
          <w:sz w:val="20"/>
          <w:szCs w:val="20"/>
        </w:rPr>
        <w:t xml:space="preserve">     |     </w:t>
      </w:r>
      <w:r>
        <w:rPr>
          <w:rFonts w:ascii="Arial" w:cs="Arial" w:eastAsia="Arial" w:hAnsi="Arial"/>
          <w:color w:val="5A5A5A"/>
          <w:sz w:val="20"/>
          <w:szCs w:val="20"/>
        </w:rPr>
        <w:t xml:space="preserve">April 2026</w:t>
      </w:r>
    </w:p>
    <w:p>
      <w:pPr>
        <w:spacing w:after="0" w:before="0"/>
      </w:pPr>
      <w:r>
        <w:rPr>
          <w:rFonts w:ascii="Arial" w:cs="Arial" w:eastAsia="Arial" w:hAnsi="Arial"/>
          <w:i/>
          <w:iCs/>
          <w:color w:val="5A5A5A"/>
          <w:sz w:val="18"/>
          <w:szCs w:val="18"/>
        </w:rPr>
        <w:t xml:space="preserve">Classification: Internal Use Only</w:t>
      </w:r>
    </w:p>
    <w:p>
      <w:pPr>
        <w:spacing w:after="200" w:before="0"/>
      </w:pPr>
      <w:r>
        <w:t xml:space="preserve"/>
      </w:r>
    </w:p>
    <w:p>
      <w:pPr>
        <w:pStyle w:val="Heading1"/>
        <w:spacing w:after="120" w:before="360"/>
      </w:pPr>
      <w:r>
        <w:rPr>
          <w:rFonts w:ascii="Arial" w:cs="Arial" w:eastAsia="Arial" w:hAnsi="Arial"/>
          <w:b/>
          <w:bCs/>
          <w:color w:val="2D2D2D"/>
          <w:sz w:val="28"/>
          <w:szCs w:val="28"/>
        </w:rPr>
        <w:t xml:space="preserve">Overview</w:t>
      </w:r>
    </w:p>
    <w:p>
      <w:pPr>
        <w:spacing w:after="140" w:before="0"/>
      </w:pPr>
      <w:r>
        <w:rPr>
          <w:rFonts w:ascii="Arial" w:cs="Arial" w:eastAsia="Arial" w:hAnsi="Arial"/>
          <w:color w:val="5A5A5A"/>
          <w:sz w:val="22"/>
          <w:szCs w:val="22"/>
        </w:rPr>
        <w:t xml:space="preserve">This document describes the recommended production AWS architecture for the Cooley ARB Intake System — a two-surface application comprising an AI-assisted chatbot intake interface and a real-time request management dashboard for the Enterprise Architecture and Technology Infrastructure teams.</w:t>
      </w:r>
    </w:p>
    <w:p>
      <w:pPr>
        <w:spacing w:after="100" w:before="0"/>
      </w:pPr>
      <w:r>
        <w:t xml:space="preserve"/>
      </w:r>
    </w:p>
    <w:p>
      <w:pPr>
        <w:spacing w:after="140" w:before="0"/>
      </w:pPr>
      <w:r>
        <w:rPr>
          <w:rFonts w:ascii="Arial" w:cs="Arial" w:eastAsia="Arial" w:hAnsi="Arial"/>
          <w:color w:val="5A5A5A"/>
          <w:sz w:val="22"/>
          <w:szCs w:val="22"/>
        </w:rPr>
        <w:t xml:space="preserve">The current prototype operates as a pair of static HTML files with direct browser-to-Anthropic API calls. The production architecture replaces that pattern with a fully governed, SSO-protected, AWS-native stack that eliminates client-side key exposure, stores intake data durably, and connects both submission paths (chatbot and reference form) to a live dashboard.</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Frontend Hosting</w:t>
      </w:r>
    </w:p>
    <w:p>
      <w:pPr>
        <w:spacing w:after="140" w:before="0"/>
      </w:pPr>
      <w:r>
        <w:rPr>
          <w:rFonts w:ascii="Arial" w:cs="Arial" w:eastAsia="Arial" w:hAnsi="Arial"/>
          <w:color w:val="5A5A5A"/>
          <w:sz w:val="22"/>
          <w:szCs w:val="22"/>
        </w:rPr>
        <w:t xml:space="preserve">The two HTML files are static assets requiring no server-side rendering. The appropriate pattern is S3 as the origin with CloudFront as the CDN, custom domain resolution via Route 53, and TLS termination through ACM certificates. A WAF rule group sits in front of CloudFront for rate limiting, geo-restriction if needed, and bot protection.</w:t>
      </w:r>
    </w:p>
    <w:p>
      <w:pPr>
        <w:spacing w:after="100" w:before="0"/>
      </w:pPr>
      <w:r>
        <w:t xml:space="preserve"/>
      </w:r>
    </w:p>
    <w:p>
      <w:pPr>
        <w:spacing w:after="140" w:before="0"/>
      </w:pPr>
      <w:r>
        <w:rPr>
          <w:rFonts w:ascii="Arial" w:cs="Arial" w:eastAsia="Arial" w:hAnsi="Arial"/>
          <w:color w:val="5A5A5A"/>
          <w:sz w:val="22"/>
          <w:szCs w:val="22"/>
        </w:rPr>
        <w:t xml:space="preserve">This is effectively zero-operations infrastructure — no compute to patch, no servers to size, automatic scaling. It aligns with patterns Cooley already runs for other web properties.</w:t>
      </w:r>
    </w:p>
    <w:p>
      <w:pPr>
        <w:spacing w:after="100" w:before="0"/>
      </w:pPr>
      <w:r>
        <w:t xml:space="preserve"/>
      </w:r>
    </w:p>
    <w:p>
      <w:pPr>
        <w:spacing w:after="120" w:before="0"/>
      </w:pPr>
      <w:r>
        <w:rPr>
          <w:rFonts w:ascii="Arial" w:cs="Arial" w:eastAsia="Arial" w:hAnsi="Arial"/>
          <w:b/>
          <w:bCs/>
          <w:color w:val="2D2D2D"/>
          <w:sz w:val="22"/>
          <w:szCs w:val="22"/>
        </w:rPr>
        <w:t xml:space="preserve">Key services:</w:t>
      </w:r>
    </w:p>
    <w:p>
      <w:pPr>
        <w:pStyle w:val="ListParagraph"/>
        <w:numPr>
          <w:ilvl w:val="0"/>
          <w:numId w:val="2"/>
        </w:numPr>
        <w:spacing w:after="80" w:before="0"/>
      </w:pPr>
      <w:r>
        <w:rPr>
          <w:rFonts w:ascii="Arial" w:cs="Arial" w:eastAsia="Arial" w:hAnsi="Arial"/>
          <w:color w:val="5A5A5A"/>
          <w:sz w:val="22"/>
          <w:szCs w:val="22"/>
        </w:rPr>
        <w:t xml:space="preserve">S3 — static asset origin</w:t>
      </w:r>
    </w:p>
    <w:p>
      <w:pPr>
        <w:pStyle w:val="ListParagraph"/>
        <w:numPr>
          <w:ilvl w:val="0"/>
          <w:numId w:val="2"/>
        </w:numPr>
        <w:spacing w:after="80" w:before="0"/>
      </w:pPr>
      <w:r>
        <w:rPr>
          <w:rFonts w:ascii="Arial" w:cs="Arial" w:eastAsia="Arial" w:hAnsi="Arial"/>
          <w:color w:val="5A5A5A"/>
          <w:sz w:val="22"/>
          <w:szCs w:val="22"/>
        </w:rPr>
        <w:t xml:space="preserve">CloudFront — CDN, TLS termination, caching</w:t>
      </w:r>
    </w:p>
    <w:p>
      <w:pPr>
        <w:pStyle w:val="ListParagraph"/>
        <w:numPr>
          <w:ilvl w:val="0"/>
          <w:numId w:val="2"/>
        </w:numPr>
        <w:spacing w:after="80" w:before="0"/>
      </w:pPr>
      <w:r>
        <w:rPr>
          <w:rFonts w:ascii="Arial" w:cs="Arial" w:eastAsia="Arial" w:hAnsi="Arial"/>
          <w:color w:val="5A5A5A"/>
          <w:sz w:val="22"/>
          <w:szCs w:val="22"/>
        </w:rPr>
        <w:t xml:space="preserve">Route 53 — DNS, custom domain (e.g., arb.internal.cooley.com)</w:t>
      </w:r>
    </w:p>
    <w:p>
      <w:pPr>
        <w:pStyle w:val="ListParagraph"/>
        <w:numPr>
          <w:ilvl w:val="0"/>
          <w:numId w:val="2"/>
        </w:numPr>
        <w:spacing w:after="80" w:before="0"/>
      </w:pPr>
      <w:r>
        <w:rPr>
          <w:rFonts w:ascii="Arial" w:cs="Arial" w:eastAsia="Arial" w:hAnsi="Arial"/>
          <w:color w:val="5A5A5A"/>
          <w:sz w:val="22"/>
          <w:szCs w:val="22"/>
        </w:rPr>
        <w:t xml:space="preserve">ACM — managed TLS certificate</w:t>
      </w:r>
    </w:p>
    <w:p>
      <w:pPr>
        <w:pStyle w:val="ListParagraph"/>
        <w:numPr>
          <w:ilvl w:val="0"/>
          <w:numId w:val="2"/>
        </w:numPr>
        <w:spacing w:after="80" w:before="0"/>
      </w:pPr>
      <w:r>
        <w:rPr>
          <w:rFonts w:ascii="Arial" w:cs="Arial" w:eastAsia="Arial" w:hAnsi="Arial"/>
          <w:color w:val="5A5A5A"/>
          <w:sz w:val="22"/>
          <w:szCs w:val="22"/>
        </w:rPr>
        <w:t xml:space="preserve">WAF — rate limiting, bot protection, geo rules</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Authentication</w:t>
      </w:r>
    </w:p>
    <w:p>
      <w:pPr>
        <w:spacing w:after="140" w:before="0"/>
      </w:pPr>
      <w:r>
        <w:rPr>
          <w:rFonts w:ascii="Arial" w:cs="Arial" w:eastAsia="Arial" w:hAnsi="Arial"/>
          <w:color w:val="5A5A5A"/>
          <w:sz w:val="22"/>
          <w:szCs w:val="22"/>
        </w:rPr>
        <w:t xml:space="preserve">Cognito User Pool with SAML federation to Azure AD / Entra ID, which Cooley already uses for M365. Employees hit the app and are redirected through their normal Cooley SSO flow, returning with a short-lived JWT. API Gateway uses a Cognito Authorizer to validate that token on every downstream request.</w:t>
      </w:r>
    </w:p>
    <w:p>
      <w:pPr>
        <w:spacing w:after="100" w:before="0"/>
      </w:pPr>
      <w:r>
        <w:t xml:space="preserve"/>
      </w:r>
    </w:p>
    <w:p>
      <w:pPr>
        <w:spacing w:after="140" w:before="0"/>
      </w:pPr>
      <w:r>
        <w:rPr>
          <w:rFonts w:ascii="Arial" w:cs="Arial" w:eastAsia="Arial" w:hAnsi="Arial"/>
          <w:color w:val="5A5A5A"/>
          <w:sz w:val="22"/>
          <w:szCs w:val="22"/>
        </w:rPr>
        <w:t xml:space="preserve">Group membership from AD carries through the JWT, enabling role-based access control:</w:t>
      </w:r>
    </w:p>
    <w:p>
      <w:pPr>
        <w:spacing w:after="100" w:before="0"/>
      </w:pPr>
      <w:r>
        <w:t xml:space="preserve"/>
      </w:r>
    </w:p>
    <w:p>
      <w:pPr>
        <w:pStyle w:val="ListParagraph"/>
        <w:numPr>
          <w:ilvl w:val="0"/>
          <w:numId w:val="2"/>
        </w:numPr>
        <w:spacing w:after="80" w:before="0"/>
      </w:pPr>
      <w:r>
        <w:rPr>
          <w:rFonts w:ascii="Arial" w:cs="Arial" w:eastAsia="Arial" w:hAnsi="Arial"/>
          <w:color w:val="5A5A5A"/>
          <w:sz w:val="22"/>
          <w:szCs w:val="22"/>
        </w:rPr>
        <w:t xml:space="preserve">Intake chatbot and reference form — accessible to all Cooley staff</w:t>
      </w:r>
    </w:p>
    <w:p>
      <w:pPr>
        <w:pStyle w:val="ListParagraph"/>
        <w:numPr>
          <w:ilvl w:val="0"/>
          <w:numId w:val="2"/>
        </w:numPr>
        <w:spacing w:after="80" w:before="0"/>
      </w:pPr>
      <w:r>
        <w:rPr>
          <w:rFonts w:ascii="Arial" w:cs="Arial" w:eastAsia="Arial" w:hAnsi="Arial"/>
          <w:color w:val="5A5A5A"/>
          <w:sz w:val="22"/>
          <w:szCs w:val="22"/>
        </w:rPr>
        <w:t xml:space="preserve">Dashboard — gated to EA/Infrastructure team members via AD group</w:t>
      </w:r>
    </w:p>
    <w:p>
      <w:pPr>
        <w:pStyle w:val="ListParagraph"/>
        <w:numPr>
          <w:ilvl w:val="0"/>
          <w:numId w:val="2"/>
        </w:numPr>
        <w:spacing w:after="80" w:before="0"/>
      </w:pPr>
      <w:r>
        <w:rPr>
          <w:rFonts w:ascii="Arial" w:cs="Arial" w:eastAsia="Arial" w:hAnsi="Arial"/>
          <w:color w:val="5A5A5A"/>
          <w:sz w:val="22"/>
          <w:szCs w:val="22"/>
        </w:rPr>
        <w:t xml:space="preserve">Admin/assignment controls — EA leads and ARB chairs only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Borders>
              <w:top w:val="single" w:color="C8102E" w:sz="1"/>
              <w:left w:val="single" w:color="C8102E" w:sz="1"/>
              <w:bottom w:val="single" w:color="C8102E" w:sz="1"/>
              <w:right w:val="single" w:color="C8102E" w:sz="1"/>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Borders>
              <w:top w:val="single" w:color="C8102E" w:sz="1"/>
              <w:left w:val="single" w:color="C8102E" w:sz="1"/>
              <w:bottom w:val="single" w:color="C8102E" w:sz="1"/>
              <w:right w:val="single" w:color="C8102E" w:sz="1"/>
            </w:tcBorders>
            <w:shd w:fill="FEF2F4" w:val="clear"/>
            <w:tcMar>
              <w:top w:type="dxa" w:w="120"/>
              <w:left w:type="dxa" w:w="200"/>
              <w:bottom w:type="dxa" w:w="120"/>
              <w:right w:type="dxa" w:w="200"/>
            </w:tcMar>
          </w:tcPr>
          <w:p>
            <w:r>
              <w:rPr>
                <w:rFonts w:ascii="Arial" w:cs="Arial" w:eastAsia="Arial" w:hAnsi="Arial"/>
                <w:i/>
                <w:iCs/>
                <w:color w:val="2D2D2D"/>
                <w:sz w:val="20"/>
                <w:szCs w:val="20"/>
              </w:rPr>
              <w:t xml:space="preserve">No employee touches the application without a valid Cooley credential. The current browser-held API key is fully replaced by this auth layer.</w:t>
            </w:r>
          </w:p>
        </w:tc>
      </w:tr>
    </w:tbl>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Key Structural Change: Eliminating the Browser API Key</w:t>
      </w:r>
    </w:p>
    <w:p>
      <w:pPr>
        <w:spacing w:after="140" w:before="0"/>
      </w:pPr>
      <w:r>
        <w:rPr>
          <w:rFonts w:ascii="Arial" w:cs="Arial" w:eastAsia="Arial" w:hAnsi="Arial"/>
          <w:color w:val="5A5A5A"/>
          <w:sz w:val="22"/>
          <w:szCs w:val="22"/>
        </w:rPr>
        <w:t xml:space="preserve">The most critical production change is removing the Anthropic API key from the browser entirely. In the prototype, the key lives in a JavaScript variable in the user's session. This cannot ship to production.</w:t>
      </w:r>
    </w:p>
    <w:p>
      <w:pPr>
        <w:spacing w:after="100" w:before="0"/>
      </w:pPr>
      <w:r>
        <w:t xml:space="preserve"/>
      </w:r>
    </w:p>
    <w:p>
      <w:pPr>
        <w:spacing w:after="140" w:before="0"/>
      </w:pPr>
      <w:r>
        <w:rPr>
          <w:rFonts w:ascii="Arial" w:cs="Arial" w:eastAsia="Arial" w:hAnsi="Arial"/>
          <w:color w:val="5A5A5A"/>
          <w:sz w:val="22"/>
          <w:szCs w:val="22"/>
        </w:rPr>
        <w:t xml:space="preserve">The solution is a thin backend proxy between the frontend and the model:</w:t>
      </w:r>
    </w:p>
    <w:p>
      <w:pPr>
        <w:spacing w:after="100" w:before="0"/>
      </w:pPr>
      <w:r>
        <w:t xml:space="preserve"/>
      </w:r>
    </w:p>
    <w:p>
      <w:pPr>
        <w:pStyle w:val="ListParagraph"/>
        <w:numPr>
          <w:ilvl w:val="0"/>
          <w:numId w:val="2"/>
        </w:numPr>
        <w:spacing w:after="80" w:before="0"/>
      </w:pPr>
      <w:r>
        <w:rPr>
          <w:rFonts w:ascii="Arial" w:cs="Arial" w:eastAsia="Arial" w:hAnsi="Arial"/>
          <w:color w:val="5A5A5A"/>
          <w:sz w:val="22"/>
          <w:szCs w:val="22"/>
        </w:rPr>
        <w:t xml:space="preserve">API Gateway receives the conversation payload from the browser (authenticated via Cognito JWT)</w:t>
      </w:r>
    </w:p>
    <w:p>
      <w:pPr>
        <w:pStyle w:val="ListParagraph"/>
        <w:numPr>
          <w:ilvl w:val="0"/>
          <w:numId w:val="2"/>
        </w:numPr>
        <w:spacing w:after="80" w:before="0"/>
      </w:pPr>
      <w:r>
        <w:rPr>
          <w:rFonts w:ascii="Arial" w:cs="Arial" w:eastAsia="Arial" w:hAnsi="Arial"/>
          <w:color w:val="5A5A5A"/>
          <w:sz w:val="22"/>
          <w:szCs w:val="22"/>
        </w:rPr>
        <w:t xml:space="preserve">A Lambda function retrieves the API key from Secrets Manager at invocation time</w:t>
      </w:r>
    </w:p>
    <w:p>
      <w:pPr>
        <w:pStyle w:val="ListParagraph"/>
        <w:numPr>
          <w:ilvl w:val="0"/>
          <w:numId w:val="2"/>
        </w:numPr>
        <w:spacing w:after="80" w:before="0"/>
      </w:pPr>
      <w:r>
        <w:rPr>
          <w:rFonts w:ascii="Arial" w:cs="Arial" w:eastAsia="Arial" w:hAnsi="Arial"/>
          <w:color w:val="5A5A5A"/>
          <w:sz w:val="22"/>
          <w:szCs w:val="22"/>
        </w:rPr>
        <w:t xml:space="preserve">Lambda calls Amazon Bedrock (Claude Sonnet) and streams the response back to the browser</w:t>
      </w:r>
    </w:p>
    <w:p>
      <w:pPr>
        <w:pStyle w:val="ListParagraph"/>
        <w:numPr>
          <w:ilvl w:val="0"/>
          <w:numId w:val="2"/>
        </w:numPr>
        <w:spacing w:after="80" w:before="0"/>
      </w:pPr>
      <w:r>
        <w:rPr>
          <w:rFonts w:ascii="Arial" w:cs="Arial" w:eastAsia="Arial" w:hAnsi="Arial"/>
          <w:color w:val="5A5A5A"/>
          <w:sz w:val="22"/>
          <w:szCs w:val="22"/>
        </w:rPr>
        <w:t xml:space="preserve">No key is ever exposed to the client</w:t>
      </w:r>
    </w:p>
    <w:p>
      <w:pPr>
        <w:spacing w:after="100" w:before="0"/>
      </w:pPr>
      <w:r>
        <w:t xml:space="preserve"/>
      </w:r>
    </w:p>
    <w:p>
      <w:pPr>
        <w:spacing w:after="140" w:before="0"/>
      </w:pPr>
      <w:r>
        <w:rPr>
          <w:rFonts w:ascii="Arial" w:cs="Arial" w:eastAsia="Arial" w:hAnsi="Arial"/>
          <w:color w:val="5A5A5A"/>
          <w:sz w:val="22"/>
          <w:szCs w:val="22"/>
        </w:rPr>
        <w:t xml:space="preserve">The shift from direct Anthropic API calls to Amazon Bedrock (same Claude model) is the correct move for Cooley's environment: all data stays within the AWS account boundary, there is no external egress for sensitive intake content, and the pattern sits inside Cooley's existing data governance posture.</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Data Layer</w:t>
      </w:r>
    </w:p>
    <w:p>
      <w:pPr>
        <w:spacing w:after="140" w:before="0"/>
      </w:pPr>
      <w:r>
        <w:rPr>
          <w:rFonts w:ascii="Arial" w:cs="Arial" w:eastAsia="Arial" w:hAnsi="Arial"/>
          <w:color w:val="5A5A5A"/>
          <w:sz w:val="22"/>
          <w:szCs w:val="22"/>
        </w:rPr>
        <w:t xml:space="preserve">localStorage, used in the prototype for cross-page request sharing, is replaced with DynamoDB. Each submitted intake request becomes a DynamoDB document, matching the natural shape of the intake data model.</w:t>
      </w:r>
    </w:p>
    <w:p>
      <w:pPr>
        <w:spacing w:after="100" w:before="0"/>
      </w:pPr>
      <w:r>
        <w:t xml:space="preserve"/>
      </w:r>
    </w:p>
    <w:p>
      <w:pPr>
        <w:spacing w:after="100" w:before="0"/>
      </w:pPr>
      <w:r>
        <w:rPr>
          <w:rFonts w:ascii="Arial" w:cs="Arial" w:eastAsia="Arial" w:hAnsi="Arial"/>
          <w:b/>
          <w:bCs/>
          <w:color w:val="2D2D2D"/>
          <w:sz w:val="22"/>
          <w:szCs w:val="22"/>
        </w:rPr>
        <w:t xml:space="preserve">Recommended table design:</w:t>
      </w:r>
    </w:p>
    <w:p>
      <w:pPr>
        <w:pStyle w:val="ListParagraph"/>
        <w:numPr>
          <w:ilvl w:val="0"/>
          <w:numId w:val="2"/>
        </w:numPr>
        <w:spacing w:after="80" w:before="0"/>
      </w:pPr>
      <w:r>
        <w:rPr>
          <w:rFonts w:ascii="Arial" w:cs="Arial" w:eastAsia="Arial" w:hAnsi="Arial"/>
          <w:color w:val="5A5A5A"/>
          <w:sz w:val="22"/>
          <w:szCs w:val="22"/>
        </w:rPr>
        <w:t xml:space="preserve">Primary key: requestId (ARB-2026-XXX format, or ULID for guaranteed uniqueness)</w:t>
      </w:r>
    </w:p>
    <w:p>
      <w:pPr>
        <w:pStyle w:val="ListParagraph"/>
        <w:numPr>
          <w:ilvl w:val="0"/>
          <w:numId w:val="2"/>
        </w:numPr>
        <w:spacing w:after="80" w:before="0"/>
      </w:pPr>
      <w:r>
        <w:rPr>
          <w:rFonts w:ascii="Arial" w:cs="Arial" w:eastAsia="Arial" w:hAnsi="Arial"/>
          <w:color w:val="5A5A5A"/>
          <w:sz w:val="22"/>
          <w:szCs w:val="22"/>
        </w:rPr>
        <w:t xml:space="preserve">GSIs on status, criticality, submittedDate, and team — enabling dashboard filters and sorts without full scans</w:t>
      </w:r>
    </w:p>
    <w:p>
      <w:pPr>
        <w:pStyle w:val="ListParagraph"/>
        <w:numPr>
          <w:ilvl w:val="0"/>
          <w:numId w:val="2"/>
        </w:numPr>
        <w:spacing w:after="80" w:before="0"/>
      </w:pPr>
      <w:r>
        <w:rPr>
          <w:rFonts w:ascii="Arial" w:cs="Arial" w:eastAsia="Arial" w:hAnsi="Arial"/>
          <w:color w:val="5A5A5A"/>
          <w:sz w:val="22"/>
          <w:szCs w:val="22"/>
        </w:rPr>
        <w:t xml:space="preserve">A Lambda function behind API Gateway handles all reads (dashboard) and writes (both submission paths)</w:t>
      </w:r>
    </w:p>
    <w:p>
      <w:pPr>
        <w:spacing w:after="100" w:before="0"/>
      </w:pPr>
      <w:r>
        <w:t xml:space="preserve"/>
      </w:r>
    </w:p>
    <w:p>
      <w:pPr>
        <w:spacing w:after="140" w:before="0"/>
      </w:pPr>
      <w:r>
        <w:rPr>
          <w:rFonts w:ascii="Arial" w:cs="Arial" w:eastAsia="Arial" w:hAnsi="Arial"/>
          <w:color w:val="5A5A5A"/>
          <w:sz w:val="22"/>
          <w:szCs w:val="22"/>
        </w:rPr>
        <w:t xml:space="preserve">If requirements evolve to need complex relational queries — joining requests to people, tracking approval chains, full audit logs — Aurora Serverless v2 (PostgreSQL) is the natural upgrade path. DynamoDB is the correct starting point given the document shape and the fact that the existing EAMS already uses it for session memory.</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The Intake Bot: Bedrock Agents / AgentCore</w:t>
      </w:r>
    </w:p>
    <w:p>
      <w:pPr>
        <w:spacing w:after="140" w:before="0"/>
      </w:pPr>
      <w:r>
        <w:rPr>
          <w:rFonts w:ascii="Arial" w:cs="Arial" w:eastAsia="Arial" w:hAnsi="Arial"/>
          <w:color w:val="5A5A5A"/>
          <w:sz w:val="22"/>
          <w:szCs w:val="22"/>
        </w:rPr>
        <w:t xml:space="preserve">Rather than a raw chat completion loop, the production intake conversation is modeled as a Bedrock Agent with action groups. This provides durable session state, structured tool calling, and managed orchestration without custom scaffolding.</w:t>
      </w:r>
    </w:p>
    <w:p>
      <w:pPr>
        <w:spacing w:after="100" w:before="0"/>
      </w:pPr>
      <w:r>
        <w:t xml:space="preserve"/>
      </w:r>
    </w:p>
    <w:p>
      <w:pPr>
        <w:spacing w:after="100" w:before="0"/>
      </w:pPr>
      <w:r>
        <w:rPr>
          <w:rFonts w:ascii="Arial" w:cs="Arial" w:eastAsia="Arial" w:hAnsi="Arial"/>
          <w:b/>
          <w:bCs/>
          <w:color w:val="2D2D2D"/>
          <w:sz w:val="22"/>
          <w:szCs w:val="22"/>
        </w:rPr>
        <w:t xml:space="preserve">Recommended action groups:</w:t>
      </w:r>
    </w:p>
    <w:p>
      <w:pPr>
        <w:pStyle w:val="ListParagraph"/>
        <w:numPr>
          <w:ilvl w:val="0"/>
          <w:numId w:val="2"/>
        </w:numPr>
        <w:spacing w:after="80" w:before="0"/>
      </w:pPr>
      <w:r>
        <w:rPr>
          <w:rFonts w:ascii="Arial" w:cs="Arial" w:eastAsia="Arial" w:hAnsi="Arial"/>
          <w:b/>
          <w:bCs/>
          <w:color w:val="2D2D2D"/>
          <w:sz w:val="22"/>
          <w:szCs w:val="22"/>
        </w:rPr>
        <w:t xml:space="preserve"> — writes each captured field to the in-progress DynamoDB record as it is collected. Partial saves are preserved if a user drops off mid-conversation.</w:t>
      </w:r>
      <w:r>
        <w:rPr>
          <w:rFonts w:ascii="Arial" w:cs="Arial" w:eastAsia="Arial" w:hAnsi="Arial"/>
          <w:color w:val="5A5A5A"/>
          <w:sz w:val="22"/>
          <w:szCs w:val="22"/>
        </w:rPr>
        <w:t xml:space="preserve">SaveIntakeField</w:t>
      </w:r>
    </w:p>
    <w:p>
      <w:pPr>
        <w:pStyle w:val="ListParagraph"/>
        <w:numPr>
          <w:ilvl w:val="0"/>
          <w:numId w:val="2"/>
        </w:numPr>
        <w:spacing w:after="80" w:before="0"/>
      </w:pPr>
      <w:r>
        <w:rPr>
          <w:rFonts w:ascii="Arial" w:cs="Arial" w:eastAsia="Arial" w:hAnsi="Arial"/>
          <w:b/>
          <w:bCs/>
          <w:color w:val="2D2D2D"/>
          <w:sz w:val="22"/>
          <w:szCs w:val="22"/>
        </w:rPr>
        <w:t xml:space="preserve"> — queries DynamoDB before submission to flag if a similar request already exists, reducing duplicate intake records.</w:t>
      </w:r>
      <w:r>
        <w:rPr>
          <w:rFonts w:ascii="Arial" w:cs="Arial" w:eastAsia="Arial" w:hAnsi="Arial"/>
          <w:color w:val="5A5A5A"/>
          <w:sz w:val="22"/>
          <w:szCs w:val="22"/>
        </w:rPr>
        <w:t xml:space="preserve">CheckDuplicates</w:t>
      </w:r>
    </w:p>
    <w:p>
      <w:pPr>
        <w:pStyle w:val="ListParagraph"/>
        <w:numPr>
          <w:ilvl w:val="0"/>
          <w:numId w:val="2"/>
        </w:numPr>
        <w:spacing w:after="80" w:before="0"/>
      </w:pPr>
      <w:r>
        <w:rPr>
          <w:rFonts w:ascii="Arial" w:cs="Arial" w:eastAsia="Arial" w:hAnsi="Arial"/>
          <w:b/>
          <w:bCs/>
          <w:color w:val="2D2D2D"/>
          <w:sz w:val="22"/>
          <w:szCs w:val="22"/>
        </w:rPr>
        <w:t xml:space="preserve"> — finalizes the record, sets status to Submitted, and triggers downstream EventBridge notifications.</w:t>
      </w:r>
      <w:r>
        <w:rPr>
          <w:rFonts w:ascii="Arial" w:cs="Arial" w:eastAsia="Arial" w:hAnsi="Arial"/>
          <w:color w:val="5A5A5A"/>
          <w:sz w:val="22"/>
          <w:szCs w:val="22"/>
        </w:rPr>
        <w:t xml:space="preserve">SubmitIntake</w:t>
      </w:r>
    </w:p>
    <w:p>
      <w:pPr>
        <w:pStyle w:val="ListParagraph"/>
        <w:numPr>
          <w:ilvl w:val="0"/>
          <w:numId w:val="2"/>
        </w:numPr>
        <w:spacing w:after="80" w:before="0"/>
      </w:pPr>
      <w:r>
        <w:rPr>
          <w:rFonts w:ascii="Arial" w:cs="Arial" w:eastAsia="Arial" w:hAnsi="Arial"/>
          <w:b/>
          <w:bCs/>
          <w:color w:val="2D2D2D"/>
          <w:sz w:val="22"/>
          <w:szCs w:val="22"/>
        </w:rPr>
        <w:t xml:space="preserve"> — optionally pulls the intake form schema from a Bedrock Knowledge Base, ensuring the agent always asks the right questions for the selected request type.</w:t>
      </w:r>
      <w:r>
        <w:rPr>
          <w:rFonts w:ascii="Arial" w:cs="Arial" w:eastAsia="Arial" w:hAnsi="Arial"/>
          <w:color w:val="5A5A5A"/>
          <w:sz w:val="22"/>
          <w:szCs w:val="22"/>
        </w:rPr>
        <w:t xml:space="preserve">GetFormSection</w:t>
      </w:r>
    </w:p>
    <w:p>
      <w:pPr>
        <w:spacing w:after="100" w:before="0"/>
      </w:pPr>
      <w:r>
        <w:t xml:space="preserve"/>
      </w:r>
    </w:p>
    <w:p>
      <w:pPr>
        <w:spacing w:after="140" w:before="0"/>
      </w:pPr>
      <w:r>
        <w:rPr>
          <w:rFonts w:ascii="Arial" w:cs="Arial" w:eastAsia="Arial" w:hAnsi="Arial"/>
          <w:color w:val="5A5A5A"/>
          <w:sz w:val="22"/>
          <w:szCs w:val="22"/>
        </w:rPr>
        <w:t xml:space="preserve">Bedrock Knowledge Bases (backed by OpenSearch Serverless, already in use for the EAMS) can hold the intake form specification, Cooley infrastructure standards, and historical intake patterns. This enables contextually intelligent prompts — for example, the agent can recognize that a user mentioned AWS hosting and ask about existing account preferences before they think to raise it.</w:t>
      </w:r>
    </w:p>
    <w:p>
      <w:pPr>
        <w:spacing w:after="100" w:before="0"/>
      </w:pPr>
      <w:r>
        <w:t xml:space="preserve"/>
      </w:r>
    </w:p>
    <w:p>
      <w:pPr>
        <w:spacing w:after="140" w:before="0"/>
      </w:pPr>
      <w:r>
        <w:rPr>
          <w:rFonts w:ascii="Arial" w:cs="Arial" w:eastAsia="Arial" w:hAnsi="Arial"/>
          <w:color w:val="5A5A5A"/>
          <w:sz w:val="22"/>
          <w:szCs w:val="22"/>
        </w:rPr>
        <w:t xml:space="preserve">AgentCore is the appropriate orchestration layer: it manages session state, memory, the tool execution loop, and multi-turn conversation handling as a managed runtime, eliminating the need to build that scaffolding in Lambda.</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Real-Time Dashboard</w:t>
      </w:r>
    </w:p>
    <w:p>
      <w:pPr>
        <w:spacing w:after="140" w:before="0"/>
      </w:pPr>
      <w:r>
        <w:rPr>
          <w:rFonts w:ascii="Arial" w:cs="Arial" w:eastAsia="Arial" w:hAnsi="Arial"/>
          <w:color w:val="5A5A5A"/>
          <w:sz w:val="22"/>
          <w:szCs w:val="22"/>
        </w:rPr>
        <w:t xml:space="preserve">Two options exist depending on operational requirements:</w:t>
      </w:r>
    </w:p>
    <w:p>
      <w:pPr>
        <w:spacing w:after="100" w:before="0"/>
      </w:pPr>
      <w:r>
        <w:t xml:space="preserve"/>
      </w:r>
    </w:p>
    <w:p>
      <w:pPr>
        <w:spacing w:after="80" w:before="0"/>
      </w:pPr>
      <w:r>
        <w:rPr>
          <w:rFonts w:ascii="Arial" w:cs="Arial" w:eastAsia="Arial" w:hAnsi="Arial"/>
          <w:b/>
          <w:bCs/>
          <w:color w:val="2D2D2D"/>
          <w:sz w:val="22"/>
          <w:szCs w:val="22"/>
        </w:rPr>
        <w:t xml:space="preserve">Option A — Polling (simpler)</w:t>
      </w:r>
    </w:p>
    <w:p>
      <w:pPr>
        <w:spacing w:after="140" w:before="0"/>
      </w:pPr>
      <w:r>
        <w:rPr>
          <w:rFonts w:ascii="Arial" w:cs="Arial" w:eastAsia="Arial" w:hAnsi="Arial"/>
          <w:color w:val="5A5A5A"/>
          <w:sz w:val="22"/>
          <w:szCs w:val="22"/>
        </w:rPr>
        <w:t xml:space="preserve">The dashboard polls an API Gateway endpoint every 30 seconds. Lambda queries DynamoDB and returns the current request set. Suitable for a tool used by a small EA team where near-real-time is sufficient.</w:t>
      </w:r>
    </w:p>
    <w:p>
      <w:pPr>
        <w:spacing w:after="100" w:before="0"/>
      </w:pPr>
      <w:r>
        <w:t xml:space="preserve"/>
      </w:r>
    </w:p>
    <w:p>
      <w:pPr>
        <w:spacing w:after="80" w:before="0"/>
      </w:pPr>
      <w:r>
        <w:rPr>
          <w:rFonts w:ascii="Arial" w:cs="Arial" w:eastAsia="Arial" w:hAnsi="Arial"/>
          <w:b/>
          <w:bCs/>
          <w:color w:val="2D2D2D"/>
          <w:sz w:val="22"/>
          <w:szCs w:val="22"/>
        </w:rPr>
        <w:t xml:space="preserve">Option B — Real-Time Push (recommended)</w:t>
      </w:r>
    </w:p>
    <w:p>
      <w:pPr>
        <w:spacing w:after="140" w:before="0"/>
      </w:pPr>
      <w:r>
        <w:rPr>
          <w:rFonts w:ascii="Arial" w:cs="Arial" w:eastAsia="Arial" w:hAnsi="Arial"/>
          <w:color w:val="5A5A5A"/>
          <w:sz w:val="22"/>
          <w:szCs w:val="22"/>
        </w:rPr>
        <w:t xml:space="preserve">AppSync with DynamoDB as a data source and a GraphQL subscription on the requests table. When a new intake record is written to DynamoDB, an EventBridge Pipe triggers AppSync, which pushes the update to all connected dashboard clients. An Emergency request submitted at any workstation appears in the Priority Queue within seconds, with no manual refresh.</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Notifications</w:t>
      </w:r>
    </w:p>
    <w:p>
      <w:pPr>
        <w:spacing w:after="140" w:before="0"/>
      </w:pPr>
      <w:r>
        <w:rPr>
          <w:rFonts w:ascii="Arial" w:cs="Arial" w:eastAsia="Arial" w:hAnsi="Arial"/>
          <w:color w:val="5A5A5A"/>
          <w:sz w:val="22"/>
          <w:szCs w:val="22"/>
        </w:rPr>
        <w:t xml:space="preserve">When an intake is submitted, the EA team needs timely awareness. The recommended pattern:</w:t>
      </w:r>
    </w:p>
    <w:p>
      <w:pPr>
        <w:spacing w:after="100" w:before="0"/>
      </w:pPr>
      <w:r>
        <w:t xml:space="preserve"/>
      </w:r>
    </w:p>
    <w:p>
      <w:pPr>
        <w:pStyle w:val="ListParagraph"/>
        <w:numPr>
          <w:ilvl w:val="0"/>
          <w:numId w:val="2"/>
        </w:numPr>
        <w:spacing w:after="80" w:before="0"/>
      </w:pPr>
      <w:r>
        <w:rPr>
          <w:rFonts w:ascii="Arial" w:cs="Arial" w:eastAsia="Arial" w:hAnsi="Arial"/>
          <w:color w:val="5A5A5A"/>
          <w:sz w:val="22"/>
          <w:szCs w:val="22"/>
        </w:rPr>
        <w:t xml:space="preserve">Lambda emits an IntakeSubmitted event to EventBridge on record creation</w:t>
      </w:r>
    </w:p>
    <w:p>
      <w:pPr>
        <w:pStyle w:val="ListParagraph"/>
        <w:numPr>
          <w:ilvl w:val="0"/>
          <w:numId w:val="2"/>
        </w:numPr>
        <w:spacing w:after="80" w:before="0"/>
      </w:pPr>
      <w:r>
        <w:rPr>
          <w:rFonts w:ascii="Arial" w:cs="Arial" w:eastAsia="Arial" w:hAnsi="Arial"/>
          <w:color w:val="5A5A5A"/>
          <w:sz w:val="22"/>
          <w:szCs w:val="22"/>
        </w:rPr>
        <w:t xml:space="preserve">An EventBridge rule matches the event and triggers a notification Lambda</w:t>
      </w:r>
    </w:p>
    <w:p>
      <w:pPr>
        <w:pStyle w:val="ListParagraph"/>
        <w:numPr>
          <w:ilvl w:val="0"/>
          <w:numId w:val="2"/>
        </w:numPr>
        <w:spacing w:after="80" w:before="0"/>
      </w:pPr>
      <w:r>
        <w:rPr>
          <w:rFonts w:ascii="Arial" w:cs="Arial" w:eastAsia="Arial" w:hAnsi="Arial"/>
          <w:color w:val="5A5A5A"/>
          <w:sz w:val="22"/>
          <w:szCs w:val="22"/>
        </w:rPr>
        <w:t xml:space="preserve">SES sends a formatted email to the ARB distribution list with request ID, title, criticality, submitting team, and a direct link to the dashboard record</w:t>
      </w:r>
    </w:p>
    <w:p>
      <w:pPr>
        <w:pStyle w:val="ListParagraph"/>
        <w:numPr>
          <w:ilvl w:val="0"/>
          <w:numId w:val="2"/>
        </w:numPr>
        <w:spacing w:after="80" w:before="0"/>
      </w:pPr>
      <w:r>
        <w:rPr>
          <w:rFonts w:ascii="Arial" w:cs="Arial" w:eastAsia="Arial" w:hAnsi="Arial"/>
          <w:color w:val="5A5A5A"/>
          <w:sz w:val="22"/>
          <w:szCs w:val="22"/>
        </w:rPr>
        <w:t xml:space="preserve">A parallel target posts to the designated Slack channel via webhook (appropriate given existing Slack-first tooling patterns in the EA practice)</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Approval Workflow (Phase 2)</w:t>
      </w:r>
    </w:p>
    <w:p>
      <w:pPr>
        <w:spacing w:after="140" w:before="0"/>
      </w:pPr>
      <w:r>
        <w:rPr>
          <w:rFonts w:ascii="Arial" w:cs="Arial" w:eastAsia="Arial" w:hAnsi="Arial"/>
          <w:color w:val="5A5A5A"/>
          <w:sz w:val="22"/>
          <w:szCs w:val="22"/>
        </w:rPr>
        <w:t xml:space="preserve">Once the EA team begins triaging and assigning requests, the status transitions need governance. Step Functions is the appropriate tool — the intake pipeline (Submitted → Triaged → In Discovery → In Backlog → In Progress → Complete) is modeled as a state machine with wait states for human approval steps.</w:t>
      </w:r>
    </w:p>
    <w:p>
      <w:pPr>
        <w:spacing w:after="100" w:before="0"/>
      </w:pPr>
      <w:r>
        <w:t xml:space="preserve"/>
      </w:r>
    </w:p>
    <w:p>
      <w:pPr>
        <w:spacing w:after="140" w:before="0"/>
      </w:pPr>
      <w:r>
        <w:rPr>
          <w:rFonts w:ascii="Arial" w:cs="Arial" w:eastAsia="Arial" w:hAnsi="Arial"/>
          <w:color w:val="5A5A5A"/>
          <w:sz w:val="22"/>
          <w:szCs w:val="22"/>
        </w:rPr>
        <w:t xml:space="preserve">A dashboard action (assign, triage, move to backlog) sends a task token completion signal back to Step Functions, advancing the state. This is the same execution pattern used in the existing EAMS Step Functions pipeline for async artifact extraction, making it a natural extension of established infrastructure.</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Alignment with Existing EAMS Stack</w:t>
      </w:r>
    </w:p>
    <w:p>
      <w:pPr>
        <w:spacing w:after="140" w:before="0"/>
      </w:pPr>
      <w:r>
        <w:rPr>
          <w:rFonts w:ascii="Arial" w:cs="Arial" w:eastAsia="Arial" w:hAnsi="Arial"/>
          <w:color w:val="5A5A5A"/>
          <w:sz w:val="22"/>
          <w:szCs w:val="22"/>
        </w:rPr>
        <w:t xml:space="preserve">The majority of services in this architecture are already in use within the EAMS project. The table below maps the ARB Intake system components against the existing stack:</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102E" w:sz="1"/>
              <w:left w:val="single" w:color="C8102E" w:sz="1"/>
              <w:bottom w:val="single" w:color="C8102E" w:sz="1"/>
              <w:right w:val="single" w:color="C8102E" w:sz="1"/>
            </w:tcBorders>
            <w:shd w:fill="C8102E" w:val="clear"/>
            <w:tcMar>
              <w:top w:type="dxa" w:w="100"/>
              <w:left w:type="dxa" w:w="160"/>
              <w:bottom w:type="dxa" w:w="100"/>
              <w:right w:type="dxa" w:w="160"/>
            </w:tcMar>
          </w:tcPr>
          <w:p>
            <w:r>
              <w:rPr>
                <w:rFonts w:ascii="Arial" w:cs="Arial" w:eastAsia="Arial" w:hAnsi="Arial"/>
                <w:b/>
                <w:bCs/>
                <w:color w:val="FFFFFF"/>
                <w:sz w:val="20"/>
                <w:szCs w:val="20"/>
              </w:rPr>
              <w:t xml:space="preserve">Layer / Service</w:t>
            </w:r>
          </w:p>
        </w:tc>
        <w:tc>
          <w:tcPr>
            <w:tcW w:type="dxa" w:w="6160"/>
            <w:tcBorders>
              <w:top w:val="single" w:color="C8102E" w:sz="1"/>
              <w:left w:val="single" w:color="C8102E" w:sz="1"/>
              <w:bottom w:val="single" w:color="C8102E" w:sz="1"/>
              <w:right w:val="single" w:color="C8102E" w:sz="1"/>
            </w:tcBorders>
            <w:shd w:fill="C8102E"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Amazon Bedrock</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Claude Sonnet model host — replaces direct Anthropic API calls</w:t>
            </w:r>
          </w:p>
        </w:tc>
      </w:tr>
      <w:tr>
        <w:tc>
          <w:tcPr>
            <w:tcW w:type="dxa" w:w="320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DynamoDB</w:t>
            </w:r>
          </w:p>
        </w:tc>
        <w:tc>
          <w:tcPr>
            <w:tcW w:type="dxa" w:w="616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Arial" w:cs="Arial" w:eastAsia="Arial" w:hAnsi="Arial"/>
                <w:color w:val="5A5A5A"/>
                <w:sz w:val="20"/>
                <w:szCs w:val="20"/>
              </w:rPr>
              <w:t xml:space="preserve">Intake request store — already used for EAMS session memory</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OpenSearch Serverless</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Bedrock Knowledge Base backing store — already provisioned for EAMS</w:t>
            </w:r>
          </w:p>
        </w:tc>
      </w:tr>
      <w:tr>
        <w:tc>
          <w:tcPr>
            <w:tcW w:type="dxa" w:w="320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Step Functions</w:t>
            </w:r>
          </w:p>
        </w:tc>
        <w:tc>
          <w:tcPr>
            <w:tcW w:type="dxa" w:w="616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Arial" w:cs="Arial" w:eastAsia="Arial" w:hAnsi="Arial"/>
                <w:color w:val="5A5A5A"/>
                <w:sz w:val="20"/>
                <w:szCs w:val="20"/>
              </w:rPr>
              <w:t xml:space="preserve">Intake workflow state machine — same pattern as EAMS async pipeline</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Lambda</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Business logic, proxy, notifications — standard compute across both</w:t>
            </w:r>
          </w:p>
        </w:tc>
      </w:tr>
      <w:tr>
        <w:tc>
          <w:tcPr>
            <w:tcW w:type="dxa" w:w="320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API Gateway</w:t>
            </w:r>
          </w:p>
        </w:tc>
        <w:tc>
          <w:tcPr>
            <w:tcW w:type="dxa" w:w="616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Arial" w:cs="Arial" w:eastAsia="Arial" w:hAnsi="Arial"/>
                <w:color w:val="5A5A5A"/>
                <w:sz w:val="20"/>
                <w:szCs w:val="20"/>
              </w:rPr>
              <w:t xml:space="preserve">Authenticated REST API surface — new for ARB Intake</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Cognito + Azure AD</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SSO via SAML federation — new if not already wired to Entra ID</w:t>
            </w:r>
          </w:p>
        </w:tc>
      </w:tr>
      <w:tr>
        <w:tc>
          <w:tcPr>
            <w:tcW w:type="dxa" w:w="320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AppSync</w:t>
            </w:r>
          </w:p>
        </w:tc>
        <w:tc>
          <w:tcPr>
            <w:tcW w:type="dxa" w:w="616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Arial" w:cs="Arial" w:eastAsia="Arial" w:hAnsi="Arial"/>
                <w:color w:val="5A5A5A"/>
                <w:sz w:val="20"/>
                <w:szCs w:val="20"/>
              </w:rPr>
              <w:t xml:space="preserve">Real-time dashboard subscriptions — new for ARB Intake</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EventBridge</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Event routing between services — new for ARB Intake</w:t>
            </w:r>
          </w:p>
        </w:tc>
      </w:tr>
      <w:tr>
        <w:tc>
          <w:tcPr>
            <w:tcW w:type="dxa" w:w="320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S3 + CloudFront</w:t>
            </w:r>
          </w:p>
        </w:tc>
        <w:tc>
          <w:tcPr>
            <w:tcW w:type="dxa" w:w="616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Arial" w:cs="Arial" w:eastAsia="Arial" w:hAnsi="Arial"/>
                <w:color w:val="5A5A5A"/>
                <w:sz w:val="20"/>
                <w:szCs w:val="20"/>
              </w:rPr>
              <w:t xml:space="preserve">Static frontend hosting — standard Cooley web pattern</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SES</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Email notifications to ARB distribution list — new for ARB Intake</w:t>
            </w:r>
          </w:p>
        </w:tc>
      </w:tr>
      <w:tr>
        <w:tc>
          <w:tcPr>
            <w:tcW w:type="dxa" w:w="320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WAF</w:t>
            </w:r>
          </w:p>
        </w:tc>
        <w:tc>
          <w:tcPr>
            <w:tcW w:type="dxa" w:w="6160"/>
            <w:tcBorders>
              <w:top w:val="single" w:color="DCDCDC" w:sz="1"/>
              <w:left w:val="single" w:color="DCDCDC" w:sz="1"/>
              <w:bottom w:val="single" w:color="DCDCDC" w:sz="1"/>
              <w:right w:val="single" w:color="DCDCDC" w:sz="1"/>
            </w:tcBorders>
            <w:shd w:fill="F7F7F7" w:val="clear"/>
            <w:tcMar>
              <w:top w:type="dxa" w:w="80"/>
              <w:left w:type="dxa" w:w="160"/>
              <w:bottom w:type="dxa" w:w="80"/>
              <w:right w:type="dxa" w:w="160"/>
            </w:tcMar>
          </w:tcPr>
          <w:p>
            <w:r>
              <w:rPr>
                <w:rFonts w:ascii="Arial" w:cs="Arial" w:eastAsia="Arial" w:hAnsi="Arial"/>
                <w:color w:val="5A5A5A"/>
                <w:sz w:val="20"/>
                <w:szCs w:val="20"/>
              </w:rPr>
              <w:t xml:space="preserve">Application protection in front of CloudFront — standard</w:t>
            </w:r>
          </w:p>
        </w:tc>
      </w:tr>
      <w:tr>
        <w:tc>
          <w:tcPr>
            <w:tcW w:type="dxa" w:w="320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Courier New" w:cs="Courier New" w:eastAsia="Courier New" w:hAnsi="Courier New"/>
                <w:b/>
                <w:bCs/>
                <w:color w:val="C8102E"/>
                <w:sz w:val="20"/>
                <w:szCs w:val="20"/>
              </w:rPr>
              <w:t xml:space="preserve">Secrets Manager</w:t>
            </w:r>
          </w:p>
        </w:tc>
        <w:tc>
          <w:tcPr>
            <w:tcW w:type="dxa" w:w="6160"/>
            <w:tcBorders>
              <w:top w:val="single" w:color="DCDCDC" w:sz="1"/>
              <w:left w:val="single" w:color="DCDCDC" w:sz="1"/>
              <w:bottom w:val="single" w:color="DCDCDC" w:sz="1"/>
              <w:right w:val="single" w:color="DCDCDC" w:sz="1"/>
            </w:tcBorders>
            <w:shd w:fill="FFFFFF" w:val="clear"/>
            <w:tcMar>
              <w:top w:type="dxa" w:w="80"/>
              <w:left w:type="dxa" w:w="160"/>
              <w:bottom w:type="dxa" w:w="80"/>
              <w:right w:type="dxa" w:w="160"/>
            </w:tcMar>
          </w:tcPr>
          <w:p>
            <w:r>
              <w:rPr>
                <w:rFonts w:ascii="Arial" w:cs="Arial" w:eastAsia="Arial" w:hAnsi="Arial"/>
                <w:color w:val="5A5A5A"/>
                <w:sz w:val="20"/>
                <w:szCs w:val="20"/>
              </w:rPr>
              <w:t xml:space="preserve">Bedrock API key storage — replaces browser-held key</w:t>
            </w:r>
          </w:p>
        </w:tc>
      </w:tr>
    </w:tbl>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Full Stack Summary</w:t>
      </w:r>
    </w:p>
    <w:p>
      <w:pPr>
        <w:spacing w:after="140" w:before="0"/>
      </w:pPr>
      <w:r>
        <w:rPr>
          <w:rFonts w:ascii="Arial" w:cs="Arial" w:eastAsia="Arial" w:hAnsi="Arial"/>
          <w:color w:val="5A5A5A"/>
          <w:sz w:val="22"/>
          <w:szCs w:val="22"/>
        </w:rPr>
        <w:t xml:space="preserve">The following diagram summarizes the end-to-end architecture across all layers: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DCDC" w:sz="1"/>
              <w:left w:val="single" w:color="DCDCDC" w:sz="1"/>
              <w:bottom w:val="single" w:color="DCDCDC" w:sz="1"/>
              <w:right w:val="single" w:color="DCDCDC" w:sz="1"/>
            </w:tcBorders>
            <w:shd w:fill="1C1C1C" w:val="clear"/>
            <w:tcMar>
              <w:top w:type="dxa" w:w="240"/>
              <w:left w:type="dxa" w:w="360"/>
              <w:bottom w:type="dxa" w:w="240"/>
              <w:right w:type="dxa" w:w="360"/>
            </w:tcMar>
          </w:tcPr>
          <w:p>
            <w:pPr>
              <w:spacing w:after="80" w:before="0"/>
            </w:pPr>
            <w:r>
              <w:rPr>
                <w:rFonts w:ascii="Courier New" w:cs="Courier New" w:eastAsia="Courier New" w:hAnsi="Courier New"/>
                <w:color w:val="AAAAAA"/>
                <w:sz w:val="18"/>
                <w:szCs w:val="18"/>
              </w:rPr>
              <w:t xml:space="preserve">Route 53  →  CloudFront (WAF)  →  S3  (static frontend)</w:t>
            </w:r>
          </w:p>
          <w:p>
            <w:pPr>
              <w:spacing w:after="80" w:before="0"/>
            </w:pPr>
            <w:r>
              <w:rPr>
                <w:rFonts w:ascii="Courier New" w:cs="Courier New" w:eastAsia="Courier New" w:hAnsi="Courier New"/>
                <w:color w:val="666666"/>
                <w:sz w:val="18"/>
                <w:szCs w:val="18"/>
              </w:rPr>
              <w:t xml:space="preserve">                          |</w:t>
            </w:r>
          </w:p>
          <w:p>
            <w:pPr>
              <w:spacing w:after="80" w:before="0"/>
            </w:pPr>
            <w:r>
              <w:rPr>
                <w:rFonts w:ascii="Courier New" w:cs="Courier New" w:eastAsia="Courier New" w:hAnsi="Courier New"/>
                <w:color w:val="AAAAAA"/>
                <w:sz w:val="18"/>
                <w:szCs w:val="18"/>
              </w:rPr>
              <w:t xml:space="preserve">         API Gateway  (Cognito JWT Authorizer)</w:t>
            </w:r>
          </w:p>
          <w:p>
            <w:pPr>
              <w:spacing w:after="80" w:before="0"/>
            </w:pPr>
            <w:r>
              <w:rPr>
                <w:rFonts w:ascii="Courier New" w:cs="Courier New" w:eastAsia="Courier New" w:hAnsi="Courier New"/>
                <w:color w:val="666666"/>
                <w:sz w:val="18"/>
                <w:szCs w:val="18"/>
              </w:rPr>
              <w:t xml:space="preserve">                          |</w:t>
            </w:r>
          </w:p>
          <w:p>
            <w:pPr>
              <w:spacing w:after="60" w:before="0"/>
            </w:pPr>
            <w:r>
              <w:rPr>
                <w:rFonts w:ascii="Courier New" w:cs="Courier New" w:eastAsia="Courier New" w:hAnsi="Courier New"/>
                <w:color w:val="666666"/>
                <w:sz w:val="18"/>
                <w:szCs w:val="18"/>
              </w:rPr>
              <w:t xml:space="preserve">     ┌─────────────────────────────────────┐</w:t>
            </w:r>
          </w:p>
          <w:p>
            <w:pPr>
              <w:spacing w:after="60" w:before="0"/>
            </w:pPr>
            <w:r>
              <w:rPr>
                <w:rFonts w:ascii="Courier New" w:cs="Courier New" w:eastAsia="Courier New" w:hAnsi="Courier New"/>
                <w:color w:val="C8102E"/>
                <w:sz w:val="18"/>
                <w:szCs w:val="18"/>
              </w:rPr>
              <w:t xml:space="preserve">     │           Lambda Functions            │</w:t>
            </w:r>
          </w:p>
          <w:p>
            <w:pPr>
              <w:spacing w:after="60" w:before="0"/>
            </w:pPr>
            <w:r>
              <w:rPr>
                <w:rFonts w:ascii="Courier New" w:cs="Courier New" w:eastAsia="Courier New" w:hAnsi="Courier New"/>
                <w:color w:val="AAAAAA"/>
                <w:sz w:val="18"/>
                <w:szCs w:val="18"/>
              </w:rPr>
              <w:t xml:space="preserve">     │  · Bedrock / AgentCore proxy          │</w:t>
            </w:r>
          </w:p>
          <w:p>
            <w:pPr>
              <w:spacing w:after="60" w:before="0"/>
            </w:pPr>
            <w:r>
              <w:rPr>
                <w:rFonts w:ascii="Courier New" w:cs="Courier New" w:eastAsia="Courier New" w:hAnsi="Courier New"/>
                <w:color w:val="AAAAAA"/>
                <w:sz w:val="18"/>
                <w:szCs w:val="18"/>
              </w:rPr>
              <w:t xml:space="preserve">     │  · Request CRUD (DynamoDB)            │</w:t>
            </w:r>
          </w:p>
          <w:p>
            <w:pPr>
              <w:spacing w:after="60" w:before="0"/>
            </w:pPr>
            <w:r>
              <w:rPr>
                <w:rFonts w:ascii="Courier New" w:cs="Courier New" w:eastAsia="Courier New" w:hAnsi="Courier New"/>
                <w:color w:val="AAAAAA"/>
                <w:sz w:val="18"/>
                <w:szCs w:val="18"/>
              </w:rPr>
              <w:t xml:space="preserve">     │  · Notification dispatch               │</w:t>
            </w:r>
          </w:p>
          <w:p>
            <w:pPr>
              <w:spacing w:after="80" w:before="0"/>
            </w:pPr>
            <w:r>
              <w:rPr>
                <w:rFonts w:ascii="Courier New" w:cs="Courier New" w:eastAsia="Courier New" w:hAnsi="Courier New"/>
                <w:color w:val="666666"/>
                <w:sz w:val="18"/>
                <w:szCs w:val="18"/>
              </w:rPr>
              <w:t xml:space="preserve">     └─────────────────────────────────────┘</w:t>
            </w:r>
          </w:p>
          <w:p>
            <w:pPr>
              <w:spacing w:after="80" w:before="0"/>
            </w:pPr>
            <w:r>
              <w:rPr>
                <w:rFonts w:ascii="Courier New" w:cs="Courier New" w:eastAsia="Courier New" w:hAnsi="Courier New"/>
                <w:color w:val="666666"/>
                <w:sz w:val="18"/>
                <w:szCs w:val="18"/>
              </w:rPr>
              <w:t xml:space="preserve">          |              |             |</w:t>
            </w:r>
          </w:p>
          <w:p>
            <w:pPr>
              <w:spacing w:after="80" w:before="0"/>
            </w:pPr>
            <w:r>
              <w:rPr>
                <w:rFonts w:ascii="Courier New" w:cs="Courier New" w:eastAsia="Courier New" w:hAnsi="Courier New"/>
                <w:color w:val="AAAAAA"/>
                <w:sz w:val="18"/>
                <w:szCs w:val="18"/>
              </w:rPr>
              <w:t xml:space="preserve">      DynamoDB     Bedrock Agent    EventBridge</w:t>
            </w:r>
          </w:p>
          <w:p>
            <w:pPr>
              <w:spacing w:after="80" w:before="0"/>
            </w:pPr>
            <w:r>
              <w:rPr>
                <w:rFonts w:ascii="Courier New" w:cs="Courier New" w:eastAsia="Courier New" w:hAnsi="Courier New"/>
                <w:color w:val="AAAAAA"/>
                <w:sz w:val="18"/>
                <w:szCs w:val="18"/>
              </w:rPr>
              <w:t xml:space="preserve">     (requests)  + KB (OpenSearch)  → SES / Slack</w:t>
            </w:r>
          </w:p>
          <w:p>
            <w:pPr>
              <w:spacing w:after="80" w:before="0"/>
            </w:pPr>
            <w:r>
              <w:rPr>
                <w:rFonts w:ascii="Courier New" w:cs="Courier New" w:eastAsia="Courier New" w:hAnsi="Courier New"/>
                <w:color w:val="AAAAAA"/>
                <w:sz w:val="18"/>
                <w:szCs w:val="18"/>
              </w:rPr>
              <w:t xml:space="preserve">                                    → Step Functions</w:t>
            </w:r>
          </w:p>
          <w:p>
            <w:pPr>
              <w:spacing w:after="60" w:before="0"/>
            </w:pPr>
            <w:r>
              <w:rPr>
                <w:rFonts w:ascii="Courier New" w:cs="Courier New" w:eastAsia="Courier New" w:hAnsi="Courier New"/>
                <w:color w:val="AAAAAA"/>
                <w:sz w:val="18"/>
                <w:szCs w:val="18"/>
              </w:rPr>
              <w:t xml:space="preserve">     AppSync  ←  DynamoDB Streams  (real-time dashboard)</w:t>
            </w:r>
          </w:p>
        </w:tc>
      </w:tr>
    </w:tbl>
    <w:p>
      <w:pPr>
        <w:spacing w:after="100" w:before="0"/>
      </w:pPr>
      <w:r>
        <w:t xml:space="preserve"/>
      </w:r>
    </w:p>
    <w:p>
      <w:pPr>
        <w:spacing w:after="140" w:before="0"/>
      </w:pPr>
      <w:r>
        <w:rPr>
          <w:rFonts w:ascii="Arial" w:cs="Arial" w:eastAsia="Arial" w:hAnsi="Arial"/>
          <w:i/>
          <w:iCs/>
          <w:color w:val="5A5A5A"/>
          <w:sz w:val="22"/>
          <w:szCs w:val="22"/>
        </w:rPr>
        <w:t xml:space="preserve">Cognito → Azure AD SAML federation threads through all layers at the authentication boundary.</w:t>
      </w:r>
    </w:p>
    <w:p>
      <w:pPr>
        <w:spacing w:after="200" w:before="0"/>
      </w:pPr>
      <w:r>
        <w:t xml:space="preserve"/>
      </w:r>
    </w:p>
    <w:p>
      <w:pPr>
        <w:pStyle w:val="Heading2"/>
        <w:pBdr>
          <w:bottom w:val="single" w:color="C8102E" w:sz="4" w:space="4"/>
        </w:pBdr>
        <w:spacing w:after="80" w:before="280"/>
      </w:pPr>
      <w:r>
        <w:rPr>
          <w:rFonts w:ascii="Arial" w:cs="Arial" w:eastAsia="Arial" w:hAnsi="Arial"/>
          <w:b/>
          <w:bCs/>
          <w:color w:val="C8102E"/>
          <w:sz w:val="24"/>
          <w:szCs w:val="24"/>
        </w:rPr>
        <w:t xml:space="preserve">MVP Recommendation</w:t>
      </w:r>
    </w:p>
    <w:p>
      <w:pPr>
        <w:spacing w:after="140" w:before="0"/>
      </w:pPr>
      <w:r>
        <w:rPr>
          <w:rFonts w:ascii="Arial" w:cs="Arial" w:eastAsia="Arial" w:hAnsi="Arial"/>
          <w:color w:val="5A5A5A"/>
          <w:sz w:val="22"/>
          <w:szCs w:val="22"/>
        </w:rPr>
        <w:t xml:space="preserve">Given the existing EAMS infrastructure and the overlap in services, a production MVP can be reached in phases:</w:t>
      </w:r>
    </w:p>
    <w:p>
      <w:pPr>
        <w:spacing w:after="100" w:before="0"/>
      </w:pPr>
      <w:r>
        <w:t xml:space="preserve"/>
      </w:r>
    </w:p>
    <w:p>
      <w:pPr>
        <w:spacing w:after="80" w:before="0"/>
      </w:pPr>
      <w:r>
        <w:rPr>
          <w:rFonts w:ascii="Arial" w:cs="Arial" w:eastAsia="Arial" w:hAnsi="Arial"/>
          <w:b/>
          <w:bCs/>
          <w:color w:val="2D2D2D"/>
          <w:sz w:val="22"/>
          <w:szCs w:val="22"/>
        </w:rPr>
        <w:t xml:space="preserve">Phase 1 — Core Infrastructure</w:t>
      </w:r>
    </w:p>
    <w:p>
      <w:pPr>
        <w:pStyle w:val="ListParagraph"/>
        <w:numPr>
          <w:ilvl w:val="0"/>
          <w:numId w:val="2"/>
        </w:numPr>
        <w:spacing w:after="80" w:before="0"/>
      </w:pPr>
      <w:r>
        <w:rPr>
          <w:rFonts w:ascii="Arial" w:cs="Arial" w:eastAsia="Arial" w:hAnsi="Arial"/>
          <w:color w:val="5A5A5A"/>
          <w:sz w:val="22"/>
          <w:szCs w:val="22"/>
        </w:rPr>
        <w:t xml:space="preserve">S3 + CloudFront + Route 53 for frontend hosting</w:t>
      </w:r>
    </w:p>
    <w:p>
      <w:pPr>
        <w:pStyle w:val="ListParagraph"/>
        <w:numPr>
          <w:ilvl w:val="0"/>
          <w:numId w:val="2"/>
        </w:numPr>
        <w:spacing w:after="80" w:before="0"/>
      </w:pPr>
      <w:r>
        <w:rPr>
          <w:rFonts w:ascii="Arial" w:cs="Arial" w:eastAsia="Arial" w:hAnsi="Arial"/>
          <w:color w:val="5A5A5A"/>
          <w:sz w:val="22"/>
          <w:szCs w:val="22"/>
        </w:rPr>
        <w:t xml:space="preserve">Cognito with Azure AD SAML federation for authentication</w:t>
      </w:r>
    </w:p>
    <w:p>
      <w:pPr>
        <w:pStyle w:val="ListParagraph"/>
        <w:numPr>
          <w:ilvl w:val="0"/>
          <w:numId w:val="2"/>
        </w:numPr>
        <w:spacing w:after="80" w:before="0"/>
      </w:pPr>
      <w:r>
        <w:rPr>
          <w:rFonts w:ascii="Arial" w:cs="Arial" w:eastAsia="Arial" w:hAnsi="Arial"/>
          <w:color w:val="5A5A5A"/>
          <w:sz w:val="22"/>
          <w:szCs w:val="22"/>
        </w:rPr>
        <w:t xml:space="preserve">API Gateway + Lambda as Bedrock proxy (eliminates browser API key)</w:t>
      </w:r>
    </w:p>
    <w:p>
      <w:pPr>
        <w:pStyle w:val="ListParagraph"/>
        <w:numPr>
          <w:ilvl w:val="0"/>
          <w:numId w:val="2"/>
        </w:numPr>
        <w:spacing w:after="80" w:before="0"/>
      </w:pPr>
      <w:r>
        <w:rPr>
          <w:rFonts w:ascii="Arial" w:cs="Arial" w:eastAsia="Arial" w:hAnsi="Arial"/>
          <w:color w:val="5A5A5A"/>
          <w:sz w:val="22"/>
          <w:szCs w:val="22"/>
        </w:rPr>
        <w:t xml:space="preserve">DynamoDB for intake request storage</w:t>
      </w:r>
    </w:p>
    <w:p>
      <w:pPr>
        <w:pStyle w:val="ListParagraph"/>
        <w:numPr>
          <w:ilvl w:val="0"/>
          <w:numId w:val="2"/>
        </w:numPr>
        <w:spacing w:after="80" w:before="0"/>
      </w:pPr>
      <w:r>
        <w:rPr>
          <w:rFonts w:ascii="Arial" w:cs="Arial" w:eastAsia="Arial" w:hAnsi="Arial"/>
          <w:color w:val="5A5A5A"/>
          <w:sz w:val="22"/>
          <w:szCs w:val="22"/>
        </w:rPr>
        <w:t xml:space="preserve">Both submission paths (chatbot and reference form) writing to DynamoDB</w:t>
      </w:r>
    </w:p>
    <w:p>
      <w:pPr>
        <w:pStyle w:val="ListParagraph"/>
        <w:numPr>
          <w:ilvl w:val="0"/>
          <w:numId w:val="2"/>
        </w:numPr>
        <w:spacing w:after="80" w:before="0"/>
      </w:pPr>
      <w:r>
        <w:rPr>
          <w:rFonts w:ascii="Arial" w:cs="Arial" w:eastAsia="Arial" w:hAnsi="Arial"/>
          <w:color w:val="5A5A5A"/>
          <w:sz w:val="22"/>
          <w:szCs w:val="22"/>
        </w:rPr>
        <w:t xml:space="preserve">Dashboard reading from DynamoDB via Lambda</w:t>
      </w:r>
    </w:p>
    <w:p>
      <w:pPr>
        <w:pStyle w:val="ListParagraph"/>
        <w:numPr>
          <w:ilvl w:val="0"/>
          <w:numId w:val="2"/>
        </w:numPr>
        <w:spacing w:after="80" w:before="0"/>
      </w:pPr>
      <w:r>
        <w:rPr>
          <w:rFonts w:ascii="Arial" w:cs="Arial" w:eastAsia="Arial" w:hAnsi="Arial"/>
          <w:color w:val="5A5A5A"/>
          <w:sz w:val="22"/>
          <w:szCs w:val="22"/>
        </w:rPr>
        <w:t xml:space="preserve">SES email notification on submission</w:t>
      </w:r>
    </w:p>
    <w:p>
      <w:pPr>
        <w:spacing w:after="100" w:before="0"/>
      </w:pPr>
      <w:r>
        <w:t xml:space="preserve"/>
      </w:r>
    </w:p>
    <w:p>
      <w:pPr>
        <w:spacing w:after="80" w:before="0"/>
      </w:pPr>
      <w:r>
        <w:rPr>
          <w:rFonts w:ascii="Arial" w:cs="Arial" w:eastAsia="Arial" w:hAnsi="Arial"/>
          <w:b/>
          <w:bCs/>
          <w:color w:val="2D2D2D"/>
          <w:sz w:val="22"/>
          <w:szCs w:val="22"/>
        </w:rPr>
        <w:t xml:space="preserve">Phase 2 — Intelligence &amp; Real-Time</w:t>
      </w:r>
    </w:p>
    <w:p>
      <w:pPr>
        <w:pStyle w:val="ListParagraph"/>
        <w:numPr>
          <w:ilvl w:val="0"/>
          <w:numId w:val="2"/>
        </w:numPr>
        <w:spacing w:after="80" w:before="0"/>
      </w:pPr>
      <w:r>
        <w:rPr>
          <w:rFonts w:ascii="Arial" w:cs="Arial" w:eastAsia="Arial" w:hAnsi="Arial"/>
          <w:color w:val="5A5A5A"/>
          <w:sz w:val="22"/>
          <w:szCs w:val="22"/>
        </w:rPr>
        <w:t xml:space="preserve">Bedrock Agent + AgentCore replacing raw completion loop</w:t>
      </w:r>
    </w:p>
    <w:p>
      <w:pPr>
        <w:pStyle w:val="ListParagraph"/>
        <w:numPr>
          <w:ilvl w:val="0"/>
          <w:numId w:val="2"/>
        </w:numPr>
        <w:spacing w:after="80" w:before="0"/>
      </w:pPr>
      <w:r>
        <w:rPr>
          <w:rFonts w:ascii="Arial" w:cs="Arial" w:eastAsia="Arial" w:hAnsi="Arial"/>
          <w:color w:val="5A5A5A"/>
          <w:sz w:val="22"/>
          <w:szCs w:val="22"/>
        </w:rPr>
        <w:t xml:space="preserve">Bedrock Knowledge Base (OpenSearch Serverless) for contextual intake guidance</w:t>
      </w:r>
    </w:p>
    <w:p>
      <w:pPr>
        <w:pStyle w:val="ListParagraph"/>
        <w:numPr>
          <w:ilvl w:val="0"/>
          <w:numId w:val="2"/>
        </w:numPr>
        <w:spacing w:after="80" w:before="0"/>
      </w:pPr>
      <w:r>
        <w:rPr>
          <w:rFonts w:ascii="Arial" w:cs="Arial" w:eastAsia="Arial" w:hAnsi="Arial"/>
          <w:color w:val="5A5A5A"/>
          <w:sz w:val="22"/>
          <w:szCs w:val="22"/>
        </w:rPr>
        <w:t xml:space="preserve">AppSync + DynamoDB Streams for real-time dashboard updates</w:t>
      </w:r>
    </w:p>
    <w:p>
      <w:pPr>
        <w:pStyle w:val="ListParagraph"/>
        <w:numPr>
          <w:ilvl w:val="0"/>
          <w:numId w:val="2"/>
        </w:numPr>
        <w:spacing w:after="80" w:before="0"/>
      </w:pPr>
      <w:r>
        <w:rPr>
          <w:rFonts w:ascii="Arial" w:cs="Arial" w:eastAsia="Arial" w:hAnsi="Arial"/>
          <w:color w:val="5A5A5A"/>
          <w:sz w:val="22"/>
          <w:szCs w:val="22"/>
        </w:rPr>
        <w:t xml:space="preserve">Slack webhook notifications via EventBridge</w:t>
      </w:r>
    </w:p>
    <w:p>
      <w:pPr>
        <w:spacing w:after="100" w:before="0"/>
      </w:pPr>
      <w:r>
        <w:t xml:space="preserve"/>
      </w:r>
    </w:p>
    <w:p>
      <w:pPr>
        <w:spacing w:after="80" w:before="0"/>
      </w:pPr>
      <w:r>
        <w:rPr>
          <w:rFonts w:ascii="Arial" w:cs="Arial" w:eastAsia="Arial" w:hAnsi="Arial"/>
          <w:b/>
          <w:bCs/>
          <w:color w:val="2D2D2D"/>
          <w:sz w:val="22"/>
          <w:szCs w:val="22"/>
        </w:rPr>
        <w:t xml:space="preserve">Phase 3 — Workflow Governance</w:t>
      </w:r>
    </w:p>
    <w:p>
      <w:pPr>
        <w:pStyle w:val="ListParagraph"/>
        <w:numPr>
          <w:ilvl w:val="0"/>
          <w:numId w:val="2"/>
        </w:numPr>
        <w:spacing w:after="80" w:before="0"/>
      </w:pPr>
      <w:r>
        <w:rPr>
          <w:rFonts w:ascii="Arial" w:cs="Arial" w:eastAsia="Arial" w:hAnsi="Arial"/>
          <w:color w:val="5A5A5A"/>
          <w:sz w:val="22"/>
          <w:szCs w:val="22"/>
        </w:rPr>
        <w:t xml:space="preserve">Step Functions state machine for intake pipeline (Submitted → Complete)</w:t>
      </w:r>
    </w:p>
    <w:p>
      <w:pPr>
        <w:pStyle w:val="ListParagraph"/>
        <w:numPr>
          <w:ilvl w:val="0"/>
          <w:numId w:val="2"/>
        </w:numPr>
        <w:spacing w:after="80" w:before="0"/>
      </w:pPr>
      <w:r>
        <w:rPr>
          <w:rFonts w:ascii="Arial" w:cs="Arial" w:eastAsia="Arial" w:hAnsi="Arial"/>
          <w:color w:val="5A5A5A"/>
          <w:sz w:val="22"/>
          <w:szCs w:val="22"/>
        </w:rPr>
        <w:t xml:space="preserve">Human approval wait states with task token integration</w:t>
      </w:r>
    </w:p>
    <w:p>
      <w:pPr>
        <w:pStyle w:val="ListParagraph"/>
        <w:numPr>
          <w:ilvl w:val="0"/>
          <w:numId w:val="2"/>
        </w:numPr>
        <w:spacing w:after="80" w:before="0"/>
      </w:pPr>
      <w:r>
        <w:rPr>
          <w:rFonts w:ascii="Arial" w:cs="Arial" w:eastAsia="Arial" w:hAnsi="Arial"/>
          <w:color w:val="5A5A5A"/>
          <w:sz w:val="22"/>
          <w:szCs w:val="22"/>
        </w:rPr>
        <w:t xml:space="preserve">Audit log and reporting capabilities</w:t>
      </w:r>
    </w:p>
    <w:p>
      <w:pPr>
        <w:spacing w:after="200" w:before="0"/>
      </w:pPr>
      <w:r>
        <w:t xml:space="preserve"/>
      </w:r>
    </w:p>
    <w:p>
      <w:pPr>
        <w:pBdr>
          <w:top w:val="single" w:color="DCDCDC" w:sz="4" w:space="8"/>
        </w:pBdr>
        <w:spacing w:after="0" w:before="80"/>
      </w:pPr>
      <w:r>
        <w:rPr>
          <w:rFonts w:ascii="Arial" w:cs="Arial" w:eastAsia="Arial" w:hAnsi="Arial"/>
          <w:i/>
          <w:iCs/>
          <w:color w:val="5A5A5A"/>
          <w:sz w:val="16"/>
          <w:szCs w:val="16"/>
        </w:rPr>
        <w:t xml:space="preserve">Cooley LLP  ·  Enterprise Architecture Practice  ·  Internal Use Only  ·  April 2026</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9026"/>
      </w:tabs>
      <w:spacing w:after="0" w:before="0"/>
    </w:pPr>
    <w:r>
      <w:rPr>
        <w:rFonts w:ascii="Arial" w:cs="Arial" w:eastAsia="Arial" w:hAnsi="Arial"/>
        <w:b/>
        <w:bCs/>
        <w:color w:val="C8102E"/>
        <w:sz w:val="22"/>
        <w:szCs w:val="22"/>
      </w:rPr>
      <w:t xml:space="preserve">Cooley</w:t>
    </w:r>
    <w:r>
      <w:rPr>
        <w:sz w:val="22"/>
        <w:szCs w:val="22"/>
      </w:rPr>
      <w:t xml:space="preserve">	</w:t>
    </w:r>
    <w:r>
      <w:rPr>
        <w:rFonts w:ascii="Arial" w:cs="Arial" w:eastAsia="Arial" w:hAnsi="Arial"/>
        <w:color w:val="5A5A5A"/>
        <w:sz w:val="18"/>
        <w:szCs w:val="18"/>
      </w:rPr>
      <w:t xml:space="preserve">Enterprise Architecture · Technology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80"/>
      <w:outlineLvl w:val="1"/>
    </w:pPr>
    <w:rPr>
      <w:rFonts w:ascii="Arial" w:cs="Arial" w:eastAsia="Arial" w:hAnsi="Arial"/>
      <w:b/>
      <w:bCs/>
      <w:color w:val="C8102E"/>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2026-04-06T06:40:21.466Z</dcterms:created>
  <dcterms:modified xsi:type="dcterms:W3CDTF">2026-04-06T06:40:21.467Z</dcterms:modified>
</cp:coreProperties>
</file>

<file path=docProps/custom.xml><?xml version="1.0" encoding="utf-8"?>
<Properties xmlns="http://schemas.openxmlformats.org/officeDocument/2006/custom-properties" xmlns:vt="http://schemas.openxmlformats.org/officeDocument/2006/docPropsVTypes"/>
</file>